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840A" w14:textId="77777777" w:rsidR="002F66D9" w:rsidRDefault="00A8597C">
      <w:pPr>
        <w:spacing w:before="100" w:line="230" w:lineRule="auto"/>
        <w:ind w:left="22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4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61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 w:hint="eastAsia"/>
          <w:spacing w:val="-61"/>
          <w:sz w:val="31"/>
          <w:szCs w:val="31"/>
          <w:lang w:eastAsia="zh-CN"/>
        </w:rPr>
        <w:t>1</w:t>
      </w:r>
    </w:p>
    <w:p w14:paraId="37B03F03" w14:textId="77777777" w:rsidR="002F66D9" w:rsidRDefault="002F66D9">
      <w:pPr>
        <w:spacing w:line="250" w:lineRule="auto"/>
        <w:rPr>
          <w:lang w:eastAsia="zh-CN"/>
        </w:rPr>
      </w:pPr>
    </w:p>
    <w:p w14:paraId="7F6E2596" w14:textId="77777777" w:rsidR="002F66D9" w:rsidRDefault="002F66D9">
      <w:pPr>
        <w:spacing w:line="251" w:lineRule="auto"/>
        <w:rPr>
          <w:lang w:eastAsia="zh-CN"/>
        </w:rPr>
      </w:pPr>
    </w:p>
    <w:p w14:paraId="3FA4E0FB" w14:textId="77777777" w:rsidR="002F66D9" w:rsidRPr="0035254A" w:rsidRDefault="00A8597C">
      <w:pPr>
        <w:spacing w:before="166" w:line="209" w:lineRule="auto"/>
        <w:ind w:left="2262" w:right="284" w:hanging="2074"/>
        <w:jc w:val="center"/>
        <w:rPr>
          <w:rFonts w:ascii="方正小标宋简体" w:eastAsia="方正小标宋简体" w:hAnsi="方正小标宋简体" w:cs="方正小标宋简体"/>
          <w:spacing w:val="3"/>
          <w:sz w:val="44"/>
          <w:szCs w:val="44"/>
          <w:lang w:eastAsia="zh-CN"/>
        </w:rPr>
      </w:pPr>
      <w:r w:rsidRPr="0035254A"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  <w:t>2024 年研究生教育教学改革研究项目</w:t>
      </w:r>
    </w:p>
    <w:p w14:paraId="3357CFD5" w14:textId="77777777" w:rsidR="002F66D9" w:rsidRPr="0035254A" w:rsidRDefault="00A8597C">
      <w:pPr>
        <w:spacing w:before="166" w:line="209" w:lineRule="auto"/>
        <w:ind w:left="2262" w:right="284" w:hanging="207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 w:rsidRPr="0035254A">
        <w:rPr>
          <w:rFonts w:ascii="方正小标宋简体" w:eastAsia="方正小标宋简体" w:hAnsi="方正小标宋简体" w:cs="方正小标宋简体" w:hint="eastAsia"/>
          <w:spacing w:val="5"/>
          <w:sz w:val="44"/>
          <w:szCs w:val="44"/>
          <w:lang w:eastAsia="zh-CN"/>
        </w:rPr>
        <w:t>申报参考指南</w:t>
      </w:r>
    </w:p>
    <w:p w14:paraId="4ACCDF44" w14:textId="77777777" w:rsidR="002F66D9" w:rsidRDefault="002F66D9">
      <w:pPr>
        <w:spacing w:line="289" w:lineRule="auto"/>
        <w:rPr>
          <w:lang w:eastAsia="zh-CN"/>
        </w:rPr>
      </w:pPr>
    </w:p>
    <w:p w14:paraId="3C350B41" w14:textId="77777777" w:rsidR="002F66D9" w:rsidRPr="0035254A" w:rsidRDefault="00A8597C" w:rsidP="0035254A">
      <w:pPr>
        <w:spacing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  <w:lang w:eastAsia="zh-CN"/>
        </w:rPr>
      </w:pPr>
      <w:r w:rsidRPr="0035254A">
        <w:rPr>
          <w:rFonts w:ascii="黑体" w:eastAsia="黑体" w:hAnsi="黑体" w:cs="宋体" w:hint="eastAsia"/>
          <w:sz w:val="32"/>
          <w:szCs w:val="32"/>
          <w:lang w:eastAsia="zh-CN"/>
        </w:rPr>
        <w:t>一、重大项目</w:t>
      </w:r>
    </w:p>
    <w:p w14:paraId="6F11FF57" w14:textId="77777777" w:rsid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1.新时代山东省研究生教育强省建设研究</w:t>
      </w:r>
    </w:p>
    <w:p w14:paraId="59FD812C" w14:textId="1FB49DAF" w:rsidR="002F66D9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2.卓越工程师人才培养实践与研究</w:t>
      </w:r>
    </w:p>
    <w:p w14:paraId="10B0ED55" w14:textId="77777777" w:rsid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3.急需紧缺高层次创新人才自主培养研究</w:t>
      </w:r>
    </w:p>
    <w:p w14:paraId="6D51568A" w14:textId="792161C6" w:rsidR="002F66D9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4.拔尖创新人才自主培养研究</w:t>
      </w:r>
    </w:p>
    <w:p w14:paraId="08570EA2" w14:textId="77777777" w:rsidR="0035254A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5.学术学位与专业学位研究生教育改革研究</w:t>
      </w:r>
    </w:p>
    <w:p w14:paraId="6471D900" w14:textId="259CB84C" w:rsidR="002F66D9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6.博士研究生教育高质量发展研究</w:t>
      </w:r>
    </w:p>
    <w:p w14:paraId="7E9ED25A" w14:textId="77777777" w:rsidR="002F66D9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7.基础学科高层次人才培养实践与研究</w:t>
      </w:r>
    </w:p>
    <w:p w14:paraId="2DF8C27A" w14:textId="77777777" w:rsidR="002F66D9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8.研究生培养全链条质量监控体系建设与研究</w:t>
      </w:r>
    </w:p>
    <w:p w14:paraId="6E2CAB66" w14:textId="77777777" w:rsid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7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9.研究生教育治理体系与治理能力</w:t>
      </w:r>
      <w:r w:rsid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研</w:t>
      </w: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究</w:t>
      </w:r>
    </w:p>
    <w:p w14:paraId="36FD63BA" w14:textId="77777777" w:rsid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仿宋_GB2312" w:eastAsia="仿宋_GB2312"/>
          <w:spacing w:val="8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10.其他研究生教育相关重大政策研究</w:t>
      </w:r>
    </w:p>
    <w:p w14:paraId="3B499EDB" w14:textId="42B864BC" w:rsidR="002F66D9" w:rsidRPr="0035254A" w:rsidRDefault="00A8597C" w:rsidP="0035254A">
      <w:pPr>
        <w:pStyle w:val="a3"/>
        <w:spacing w:line="560" w:lineRule="exact"/>
        <w:ind w:firstLineChars="200" w:firstLine="654"/>
        <w:jc w:val="both"/>
        <w:rPr>
          <w:rFonts w:ascii="黑体" w:eastAsia="黑体" w:hAnsi="黑体" w:cs="方正楷体_GB2312"/>
          <w:sz w:val="32"/>
          <w:szCs w:val="32"/>
          <w:lang w:eastAsia="zh-CN"/>
        </w:rPr>
      </w:pPr>
      <w:r w:rsidRPr="0035254A">
        <w:rPr>
          <w:rFonts w:ascii="黑体" w:eastAsia="黑体" w:hAnsi="黑体" w:cs="黑体" w:hint="eastAsia"/>
          <w:spacing w:val="7"/>
          <w:sz w:val="32"/>
          <w:szCs w:val="32"/>
          <w:lang w:eastAsia="zh-CN"/>
        </w:rPr>
        <w:t>二、重点、面上项目</w:t>
      </w:r>
    </w:p>
    <w:p w14:paraId="12601DEA" w14:textId="77777777" w:rsidR="002F66D9" w:rsidRPr="0035254A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1.学位点与学科建设研究。包括学位点建设与质量保障、学</w:t>
      </w:r>
      <w:r w:rsidRPr="0035254A">
        <w:rPr>
          <w:rFonts w:ascii="仿宋_GB2312" w:eastAsia="仿宋_GB2312" w:hint="eastAsia"/>
          <w:spacing w:val="8"/>
          <w:sz w:val="32"/>
          <w:szCs w:val="32"/>
          <w:lang w:eastAsia="zh-CN"/>
        </w:rPr>
        <w:t>位点评估、学科建设、学科评估等研究。</w:t>
      </w:r>
    </w:p>
    <w:p w14:paraId="0C685222" w14:textId="55C058C3" w:rsidR="002F66D9" w:rsidRPr="0035254A" w:rsidRDefault="00A8597C" w:rsidP="0035254A">
      <w:pPr>
        <w:pStyle w:val="a3"/>
        <w:spacing w:line="560" w:lineRule="exact"/>
        <w:ind w:firstLineChars="200" w:firstLine="652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6"/>
          <w:sz w:val="32"/>
          <w:szCs w:val="32"/>
          <w:lang w:eastAsia="zh-CN"/>
        </w:rPr>
        <w:t>2.导师队伍建设研究。包括研究生导师立德树人职责落实、</w:t>
      </w:r>
      <w:r w:rsidRPr="0035254A">
        <w:rPr>
          <w:rFonts w:ascii="仿宋_GB2312" w:eastAsia="仿宋_GB2312" w:hint="eastAsia"/>
          <w:spacing w:val="5"/>
          <w:sz w:val="32"/>
          <w:szCs w:val="32"/>
          <w:lang w:eastAsia="zh-CN"/>
        </w:rPr>
        <w:t>岗位管理、指导能力提升、团队建设、交流培</w:t>
      </w: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训及激励评价</w:t>
      </w:r>
      <w:r w:rsidR="00F07851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、</w:t>
      </w:r>
      <w:r w:rsidR="00F07851" w:rsidRPr="00F07851">
        <w:rPr>
          <w:rFonts w:ascii="仿宋_GB2312" w:eastAsia="仿宋_GB2312" w:hint="eastAsia"/>
          <w:sz w:val="32"/>
          <w:szCs w:val="32"/>
          <w:lang w:eastAsia="zh-CN"/>
        </w:rPr>
        <w:t>企业导师选聘、管理及作用发挥</w:t>
      </w:r>
      <w:r w:rsidRPr="0035254A">
        <w:rPr>
          <w:rFonts w:ascii="仿宋_GB2312" w:eastAsia="仿宋_GB2312" w:hint="eastAsia"/>
          <w:sz w:val="32"/>
          <w:szCs w:val="32"/>
          <w:lang w:eastAsia="zh-CN"/>
        </w:rPr>
        <w:t>等研究。</w:t>
      </w:r>
    </w:p>
    <w:p w14:paraId="192397B4" w14:textId="21A13449" w:rsidR="002F66D9" w:rsidRPr="0035254A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pacing w:val="8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3.人才培养模式改革研究。包括拔尖创新人才培养</w:t>
      </w:r>
      <w:r w:rsidRPr="0035254A">
        <w:rPr>
          <w:rFonts w:ascii="仿宋_GB2312" w:eastAsia="仿宋_GB2312" w:hint="eastAsia"/>
          <w:spacing w:val="3"/>
          <w:sz w:val="32"/>
          <w:szCs w:val="32"/>
          <w:lang w:eastAsia="zh-CN"/>
        </w:rPr>
        <w:t>、学术学</w:t>
      </w:r>
      <w:r w:rsidRPr="0035254A">
        <w:rPr>
          <w:rFonts w:ascii="仿宋_GB2312" w:eastAsia="仿宋_GB2312" w:hint="eastAsia"/>
          <w:spacing w:val="5"/>
          <w:sz w:val="32"/>
          <w:szCs w:val="32"/>
          <w:lang w:eastAsia="zh-CN"/>
        </w:rPr>
        <w:t>位与专业学位研究生分类培养、专业学位人才培养模式创新、</w:t>
      </w:r>
      <w:r w:rsidR="00F07851" w:rsidRPr="00F07851">
        <w:rPr>
          <w:rFonts w:ascii="仿宋_GB2312" w:eastAsia="仿宋_GB2312" w:hint="eastAsia"/>
          <w:spacing w:val="5"/>
          <w:sz w:val="32"/>
          <w:szCs w:val="32"/>
          <w:lang w:eastAsia="zh-CN"/>
        </w:rPr>
        <w:lastRenderedPageBreak/>
        <w:t>科教融合</w:t>
      </w:r>
      <w:r w:rsidR="00F07851" w:rsidRPr="00F07851">
        <w:rPr>
          <w:rFonts w:ascii="仿宋_GB2312" w:eastAsia="仿宋_GB2312"/>
          <w:spacing w:val="5"/>
          <w:sz w:val="32"/>
          <w:szCs w:val="32"/>
          <w:lang w:eastAsia="zh-CN"/>
        </w:rPr>
        <w:t>/</w:t>
      </w:r>
      <w:r w:rsidR="00F07851" w:rsidRPr="00F07851">
        <w:rPr>
          <w:rFonts w:ascii="仿宋_GB2312" w:eastAsia="仿宋_GB2312" w:hint="eastAsia"/>
          <w:spacing w:val="5"/>
          <w:sz w:val="32"/>
          <w:szCs w:val="32"/>
          <w:lang w:eastAsia="zh-CN"/>
        </w:rPr>
        <w:t>产教融合协同育人、卓越工程师</w:t>
      </w:r>
      <w:r w:rsidR="00F07851" w:rsidRPr="00F07851">
        <w:rPr>
          <w:rFonts w:ascii="仿宋_GB2312" w:eastAsia="仿宋_GB2312"/>
          <w:spacing w:val="5"/>
          <w:sz w:val="32"/>
          <w:szCs w:val="32"/>
          <w:lang w:eastAsia="zh-CN"/>
        </w:rPr>
        <w:t>/</w:t>
      </w:r>
      <w:r w:rsidR="00F07851" w:rsidRPr="00F07851">
        <w:rPr>
          <w:rFonts w:ascii="仿宋_GB2312" w:eastAsia="仿宋_GB2312" w:hint="eastAsia"/>
          <w:spacing w:val="5"/>
          <w:sz w:val="32"/>
          <w:szCs w:val="32"/>
          <w:lang w:eastAsia="zh-CN"/>
        </w:rPr>
        <w:t>工程类专业学位</w:t>
      </w:r>
      <w:proofErr w:type="gramStart"/>
      <w:r w:rsidR="00F07851" w:rsidRPr="00F07851">
        <w:rPr>
          <w:rFonts w:ascii="仿宋_GB2312" w:eastAsia="仿宋_GB2312" w:hint="eastAsia"/>
          <w:spacing w:val="5"/>
          <w:sz w:val="32"/>
          <w:szCs w:val="32"/>
          <w:lang w:eastAsia="zh-CN"/>
        </w:rPr>
        <w:t>硕</w:t>
      </w:r>
      <w:proofErr w:type="gramEnd"/>
      <w:r w:rsidR="00F07851" w:rsidRPr="00F07851">
        <w:rPr>
          <w:rFonts w:ascii="仿宋_GB2312" w:eastAsia="仿宋_GB2312" w:hint="eastAsia"/>
          <w:spacing w:val="5"/>
          <w:sz w:val="32"/>
          <w:szCs w:val="32"/>
          <w:lang w:eastAsia="zh-CN"/>
        </w:rPr>
        <w:t>博士培养模式、基础学科人才培养机制</w:t>
      </w:r>
      <w:r w:rsidRPr="0035254A">
        <w:rPr>
          <w:rFonts w:ascii="仿宋_GB2312" w:eastAsia="仿宋_GB2312" w:hint="eastAsia"/>
          <w:spacing w:val="8"/>
          <w:sz w:val="32"/>
          <w:szCs w:val="32"/>
          <w:lang w:eastAsia="zh-CN"/>
        </w:rPr>
        <w:t>等研究。</w:t>
      </w:r>
    </w:p>
    <w:p w14:paraId="057F9475" w14:textId="77777777" w:rsidR="002F66D9" w:rsidRPr="0035254A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4.研究生教育教学资源建设研究。包括研究生教材、课程及平台、专业学位案例库、联合培养基地建设及共享等研究。</w:t>
      </w:r>
    </w:p>
    <w:p w14:paraId="0A6F0B99" w14:textId="77777777" w:rsidR="002F66D9" w:rsidRPr="0035254A" w:rsidRDefault="00A8597C" w:rsidP="0035254A">
      <w:pPr>
        <w:pStyle w:val="a3"/>
        <w:spacing w:line="560" w:lineRule="exact"/>
        <w:ind w:firstLineChars="200" w:firstLine="672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16"/>
          <w:sz w:val="32"/>
          <w:szCs w:val="32"/>
          <w:lang w:eastAsia="zh-CN"/>
        </w:rPr>
        <w:t>5.研究生教育质量保障与评价体系研究。包括研究生教育</w:t>
      </w:r>
      <w:r w:rsidRPr="0035254A">
        <w:rPr>
          <w:rFonts w:ascii="仿宋_GB2312" w:eastAsia="仿宋_GB2312" w:hint="eastAsia"/>
          <w:spacing w:val="5"/>
          <w:sz w:val="32"/>
          <w:szCs w:val="32"/>
          <w:lang w:eastAsia="zh-CN"/>
        </w:rPr>
        <w:t>（教学）质量监测（评价）和管理（保障）体系、专业实践环节监管和质量保障评价、研究生培养质量跟踪评价、研究生学位论</w:t>
      </w:r>
      <w:r w:rsidRPr="0035254A">
        <w:rPr>
          <w:rFonts w:ascii="仿宋_GB2312" w:eastAsia="仿宋_GB2312" w:hint="eastAsia"/>
          <w:spacing w:val="9"/>
          <w:sz w:val="32"/>
          <w:szCs w:val="32"/>
          <w:lang w:eastAsia="zh-CN"/>
        </w:rPr>
        <w:t>文分类评价、研究生学位论文质量提升等。</w:t>
      </w:r>
    </w:p>
    <w:p w14:paraId="611C9DCF" w14:textId="77777777" w:rsidR="002F66D9" w:rsidRPr="0035254A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6.研究生招生录取改革研究。包括新形势下研究生招生考试</w:t>
      </w:r>
      <w:r w:rsidRPr="0035254A">
        <w:rPr>
          <w:rFonts w:ascii="仿宋_GB2312" w:eastAsia="仿宋_GB2312" w:hint="eastAsia"/>
          <w:spacing w:val="5"/>
          <w:sz w:val="32"/>
          <w:szCs w:val="32"/>
          <w:lang w:eastAsia="zh-CN"/>
        </w:rPr>
        <w:t>制度改革、招生计划优化分配、招生规模与结构调整、招生</w:t>
      </w: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考试</w:t>
      </w:r>
      <w:r w:rsidRPr="0035254A">
        <w:rPr>
          <w:rFonts w:ascii="仿宋_GB2312" w:eastAsia="仿宋_GB2312" w:hint="eastAsia"/>
          <w:spacing w:val="3"/>
          <w:sz w:val="32"/>
          <w:szCs w:val="32"/>
          <w:lang w:eastAsia="zh-CN"/>
        </w:rPr>
        <w:t>自命题考试优化与管理、“申请—考核”制模式优化及监督等研</w:t>
      </w:r>
      <w:r w:rsidRPr="0035254A">
        <w:rPr>
          <w:rFonts w:ascii="仿宋_GB2312" w:eastAsia="仿宋_GB2312" w:hint="eastAsia"/>
          <w:spacing w:val="-7"/>
          <w:sz w:val="32"/>
          <w:szCs w:val="32"/>
          <w:lang w:eastAsia="zh-CN"/>
        </w:rPr>
        <w:t>究。</w:t>
      </w:r>
    </w:p>
    <w:p w14:paraId="21DEF501" w14:textId="77777777" w:rsidR="002F66D9" w:rsidRPr="0035254A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7.研究生教育管理研究。包括研究生思政（</w:t>
      </w:r>
      <w:proofErr w:type="gramStart"/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思政课程</w:t>
      </w:r>
      <w:proofErr w:type="gramEnd"/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）育人</w:t>
      </w:r>
      <w:r w:rsidRPr="0035254A">
        <w:rPr>
          <w:rFonts w:ascii="仿宋_GB2312" w:eastAsia="仿宋_GB2312" w:hint="eastAsia"/>
          <w:spacing w:val="7"/>
          <w:sz w:val="32"/>
          <w:szCs w:val="32"/>
          <w:lang w:eastAsia="zh-CN"/>
        </w:rPr>
        <w:t>体系、学风建设与学术规范、基层党组织建设、心理健康教育、</w:t>
      </w:r>
      <w:r w:rsidRPr="0035254A">
        <w:rPr>
          <w:rFonts w:ascii="仿宋_GB2312" w:eastAsia="仿宋_GB2312" w:hint="eastAsia"/>
          <w:spacing w:val="9"/>
          <w:sz w:val="32"/>
          <w:szCs w:val="32"/>
          <w:lang w:eastAsia="zh-CN"/>
        </w:rPr>
        <w:t>奖助体系、教育教学管理队伍建设等研究。</w:t>
      </w:r>
    </w:p>
    <w:p w14:paraId="0169E2EF" w14:textId="77777777" w:rsidR="002F66D9" w:rsidRPr="0035254A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8.研究生创新实践能力提升研究。包括研究生创新实践能力</w:t>
      </w:r>
      <w:r w:rsidRPr="0035254A">
        <w:rPr>
          <w:rFonts w:ascii="仿宋_GB2312" w:eastAsia="仿宋_GB2312" w:hint="eastAsia"/>
          <w:spacing w:val="9"/>
          <w:sz w:val="32"/>
          <w:szCs w:val="32"/>
          <w:lang w:eastAsia="zh-CN"/>
        </w:rPr>
        <w:t>培养、创新实践平台搭建、创新创业教育、职业发展等</w:t>
      </w:r>
      <w:r w:rsidRPr="0035254A">
        <w:rPr>
          <w:rFonts w:ascii="仿宋_GB2312" w:eastAsia="仿宋_GB2312" w:hint="eastAsia"/>
          <w:spacing w:val="8"/>
          <w:sz w:val="32"/>
          <w:szCs w:val="32"/>
          <w:lang w:eastAsia="zh-CN"/>
        </w:rPr>
        <w:t>研究。</w:t>
      </w:r>
    </w:p>
    <w:p w14:paraId="5633ADCF" w14:textId="7BAD87EB" w:rsidR="002F66D9" w:rsidRDefault="00A8597C" w:rsidP="0035254A">
      <w:pPr>
        <w:pStyle w:val="a3"/>
        <w:spacing w:line="560" w:lineRule="exact"/>
        <w:ind w:firstLineChars="200" w:firstLine="648"/>
        <w:jc w:val="both"/>
        <w:rPr>
          <w:rFonts w:ascii="仿宋_GB2312" w:eastAsia="仿宋_GB2312"/>
          <w:spacing w:val="10"/>
          <w:sz w:val="32"/>
          <w:szCs w:val="32"/>
          <w:lang w:eastAsia="zh-CN"/>
        </w:rPr>
      </w:pPr>
      <w:r w:rsidRPr="0035254A">
        <w:rPr>
          <w:rFonts w:ascii="仿宋_GB2312" w:eastAsia="仿宋_GB2312" w:hint="eastAsia"/>
          <w:spacing w:val="4"/>
          <w:sz w:val="32"/>
          <w:szCs w:val="32"/>
          <w:lang w:eastAsia="zh-CN"/>
        </w:rPr>
        <w:t>9.研究生教育国际化研究。包括研究生国际化</w:t>
      </w:r>
      <w:r w:rsidRPr="0035254A">
        <w:rPr>
          <w:rFonts w:ascii="仿宋_GB2312" w:eastAsia="仿宋_GB2312" w:hint="eastAsia"/>
          <w:spacing w:val="3"/>
          <w:sz w:val="32"/>
          <w:szCs w:val="32"/>
          <w:lang w:eastAsia="zh-CN"/>
        </w:rPr>
        <w:t>培养、国际影</w:t>
      </w:r>
      <w:r w:rsidRPr="0035254A">
        <w:rPr>
          <w:rFonts w:ascii="仿宋_GB2312" w:eastAsia="仿宋_GB2312" w:hint="eastAsia"/>
          <w:spacing w:val="10"/>
          <w:sz w:val="32"/>
          <w:szCs w:val="32"/>
          <w:lang w:eastAsia="zh-CN"/>
        </w:rPr>
        <w:t>响力提升、国际学术交流、来华留学生培养等研究。</w:t>
      </w:r>
    </w:p>
    <w:p w14:paraId="4B444B6A" w14:textId="160E03E4" w:rsidR="00F07851" w:rsidRDefault="00F07851" w:rsidP="0035254A">
      <w:pPr>
        <w:pStyle w:val="a3"/>
        <w:spacing w:line="560" w:lineRule="exact"/>
        <w:ind w:firstLineChars="200" w:firstLine="640"/>
        <w:jc w:val="both"/>
        <w:rPr>
          <w:rFonts w:hint="eastAsia"/>
          <w:lang w:eastAsia="zh-CN"/>
        </w:rPr>
      </w:pPr>
      <w:r w:rsidRPr="00F07851">
        <w:rPr>
          <w:rFonts w:ascii="仿宋_GB2312" w:eastAsia="仿宋_GB2312" w:hAnsi="仿宋_GB2312" w:cs="仿宋_GB2312"/>
          <w:sz w:val="32"/>
          <w:szCs w:val="32"/>
          <w:lang w:eastAsia="zh-CN"/>
        </w:rPr>
        <w:t>10.</w:t>
      </w:r>
      <w:r w:rsidRPr="00F07851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关于研究生教育其他方面的重点、难点、热点问题。</w:t>
      </w:r>
    </w:p>
    <w:sectPr w:rsidR="00F07851">
      <w:footerReference w:type="default" r:id="rId6"/>
      <w:pgSz w:w="11906" w:h="16839"/>
      <w:pgMar w:top="1431" w:right="1479" w:bottom="1784" w:left="1535" w:header="0" w:footer="1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21AE7" w14:textId="77777777" w:rsidR="00671E84" w:rsidRDefault="00671E84">
      <w:r>
        <w:separator/>
      </w:r>
    </w:p>
  </w:endnote>
  <w:endnote w:type="continuationSeparator" w:id="0">
    <w:p w14:paraId="421463BC" w14:textId="77777777" w:rsidR="00671E84" w:rsidRDefault="0067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6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807EA" w14:textId="77777777" w:rsidR="002F66D9" w:rsidRDefault="002F66D9">
    <w:pPr>
      <w:spacing w:line="181" w:lineRule="auto"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AC91" w14:textId="77777777" w:rsidR="00671E84" w:rsidRDefault="00671E84">
      <w:r>
        <w:separator/>
      </w:r>
    </w:p>
  </w:footnote>
  <w:footnote w:type="continuationSeparator" w:id="0">
    <w:p w14:paraId="6C5FF8BD" w14:textId="77777777" w:rsidR="00671E84" w:rsidRDefault="00671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Tg1MjAzMjUwYTc0NDM4YjBlZTY2Y2EwOGE2Y2RmYjUifQ=="/>
  </w:docVars>
  <w:rsids>
    <w:rsidRoot w:val="002F66D9"/>
    <w:rsid w:val="002F66D9"/>
    <w:rsid w:val="0035254A"/>
    <w:rsid w:val="00671E84"/>
    <w:rsid w:val="00A8597C"/>
    <w:rsid w:val="00F07851"/>
    <w:rsid w:val="1A72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9A072"/>
  <w15:docId w15:val="{C7DB886A-72A6-49DB-9989-D82C18C8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方正仿宋_GB2312" w:eastAsia="方正仿宋_GB2312" w:hAnsi="方正仿宋_GB2312" w:cs="方正仿宋_GB2312"/>
      <w:sz w:val="31"/>
      <w:szCs w:val="31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footer"/>
    <w:basedOn w:val="a"/>
    <w:link w:val="a6"/>
    <w:rsid w:val="0035254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5254A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文印1</dc:creator>
  <cp:lastModifiedBy>sun stephen</cp:lastModifiedBy>
  <cp:revision>3</cp:revision>
  <dcterms:created xsi:type="dcterms:W3CDTF">2024-10-31T10:56:00Z</dcterms:created>
  <dcterms:modified xsi:type="dcterms:W3CDTF">2024-11-01T02:45:00Z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2024-11-01T10:15:51Z</vt:filetime>
  </property>
  <property fmtid="{D5CDD505-2E9C-101B-9397-08002B2CF9AE}" pid="4" name="KSOProductBuildVer">
    <vt:lpwstr>2052-12.1.0.18608</vt:lpwstr>
  </property>
  <property fmtid="{D5CDD505-2E9C-101B-9397-08002B2CF9AE}" pid="5" name="ICV">
    <vt:lpwstr>C0A374D9A7644AC291F8792299F3C2BD_13</vt:lpwstr>
  </property>
</Properties>
</file>