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5-1</w:t>
      </w:r>
    </w:p>
    <w:p>
      <w:pPr>
        <w:spacing w:before="232" w:line="211" w:lineRule="auto"/>
        <w:ind w:left="255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山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东省高校青年教师教学比赛</w:t>
      </w:r>
    </w:p>
    <w:p>
      <w:pPr>
        <w:spacing w:before="55" w:line="181" w:lineRule="auto"/>
        <w:ind w:left="360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课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堂教学评分表</w:t>
      </w:r>
    </w:p>
    <w:p>
      <w:pPr>
        <w:spacing w:before="176" w:line="219" w:lineRule="auto"/>
        <w:ind w:left="39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(满分 75 分)</w:t>
      </w:r>
    </w:p>
    <w:p>
      <w:pPr>
        <w:spacing w:line="25" w:lineRule="exact"/>
      </w:pPr>
    </w:p>
    <w:tbl>
      <w:tblPr>
        <w:tblStyle w:val="5"/>
        <w:tblW w:w="9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68"/>
        <w:gridCol w:w="5799"/>
        <w:gridCol w:w="885"/>
        <w:gridCol w:w="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65" w:type="dxa"/>
            <w:vAlign w:val="top"/>
          </w:tcPr>
          <w:p>
            <w:pPr>
              <w:spacing w:before="104" w:line="219" w:lineRule="auto"/>
              <w:ind w:left="2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目</w:t>
            </w:r>
          </w:p>
        </w:tc>
        <w:tc>
          <w:tcPr>
            <w:tcW w:w="6967" w:type="dxa"/>
            <w:gridSpan w:val="2"/>
            <w:vAlign w:val="top"/>
          </w:tcPr>
          <w:p>
            <w:pPr>
              <w:spacing w:before="104" w:line="219" w:lineRule="auto"/>
              <w:ind w:left="29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5" w:type="dxa"/>
            <w:vAlign w:val="top"/>
          </w:tcPr>
          <w:p>
            <w:pPr>
              <w:spacing w:before="104" w:line="220" w:lineRule="auto"/>
              <w:ind w:left="1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值</w:t>
            </w:r>
          </w:p>
        </w:tc>
        <w:tc>
          <w:tcPr>
            <w:tcW w:w="864" w:type="dxa"/>
            <w:vAlign w:val="top"/>
          </w:tcPr>
          <w:p>
            <w:pPr>
              <w:spacing w:before="104" w:line="220" w:lineRule="auto"/>
              <w:ind w:left="1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堂</w:t>
            </w:r>
          </w:p>
          <w:p>
            <w:pPr>
              <w:spacing w:line="219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</w:tc>
        <w:tc>
          <w:tcPr>
            <w:tcW w:w="1168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  <w:p>
            <w:pPr>
              <w:spacing w:before="1" w:line="214" w:lineRule="auto"/>
              <w:ind w:left="199" w:right="132" w:firstLine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内容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top"/>
          </w:tcPr>
          <w:p>
            <w:pPr>
              <w:spacing w:before="62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贯彻立德树人的具体要求,突出课堂德育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before="103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55" w:line="21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理论联系实际，符合学生的特点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before="95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44" w:line="214" w:lineRule="auto"/>
              <w:ind w:left="132" w:right="100" w:hanging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重学术性，内容充实，信息量充分，渗透专业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思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想，为教学目标服务。</w:t>
            </w:r>
          </w:p>
        </w:tc>
        <w:tc>
          <w:tcPr>
            <w:tcW w:w="885" w:type="dxa"/>
            <w:vAlign w:val="top"/>
          </w:tcPr>
          <w:p>
            <w:pPr>
              <w:spacing w:before="236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194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反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映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或联系学科发展新思想、新概念、新成果。</w:t>
            </w:r>
          </w:p>
        </w:tc>
        <w:tc>
          <w:tcPr>
            <w:tcW w:w="885" w:type="dxa"/>
            <w:vAlign w:val="top"/>
          </w:tcPr>
          <w:p>
            <w:pPr>
              <w:spacing w:before="234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192" w:line="220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重点突出，条理清楚，内容承前启后，循序渐进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before="232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  <w:p>
            <w:pPr>
              <w:spacing w:before="1" w:line="214" w:lineRule="auto"/>
              <w:ind w:left="199" w:right="132" w:firstLine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top"/>
          </w:tcPr>
          <w:p>
            <w:pPr>
              <w:spacing w:before="44" w:line="212" w:lineRule="auto"/>
              <w:ind w:left="114" w:right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学过程安排合理， 方法运用灵活、恰当， 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设计方案体现完整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before="232" w:line="185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199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启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发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性强，能有效调动学生思维和学习积极性。</w:t>
            </w:r>
          </w:p>
        </w:tc>
        <w:tc>
          <w:tcPr>
            <w:tcW w:w="885" w:type="dxa"/>
            <w:vAlign w:val="top"/>
          </w:tcPr>
          <w:p>
            <w:pPr>
              <w:spacing w:before="238" w:line="185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52" w:line="218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学时间安排合理，课堂应变能力强。</w:t>
            </w:r>
          </w:p>
        </w:tc>
        <w:tc>
          <w:tcPr>
            <w:tcW w:w="885" w:type="dxa"/>
            <w:vAlign w:val="top"/>
          </w:tcPr>
          <w:p>
            <w:pPr>
              <w:spacing w:before="92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55" w:line="217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熟练、有效地运用多媒体等现代教学手段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before="95" w:line="186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189" w:line="213" w:lineRule="auto"/>
              <w:ind w:left="114" w:right="66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>板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书设计与教学内容紧密联系、结构合理，板书与多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媒体相配合，简洁、工整、美观、大小适当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。</w:t>
            </w:r>
          </w:p>
        </w:tc>
        <w:tc>
          <w:tcPr>
            <w:tcW w:w="8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restart"/>
            <w:tcBorders>
              <w:bottom w:val="nil"/>
            </w:tcBorders>
            <w:vAlign w:val="top"/>
          </w:tcPr>
          <w:p>
            <w:pPr>
              <w:spacing w:before="326" w:line="198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语言</w:t>
            </w:r>
          </w:p>
          <w:p>
            <w:pPr>
              <w:spacing w:before="1" w:line="214" w:lineRule="auto"/>
              <w:ind w:left="199" w:right="132" w:firstLine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(10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top"/>
          </w:tcPr>
          <w:p>
            <w:pPr>
              <w:spacing w:before="48" w:line="214" w:lineRule="auto"/>
              <w:ind w:left="114" w:right="99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普通话讲课，语言清晰、流畅、准确、生动，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速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节奏恰当。</w:t>
            </w:r>
          </w:p>
        </w:tc>
        <w:tc>
          <w:tcPr>
            <w:tcW w:w="885" w:type="dxa"/>
            <w:vAlign w:val="top"/>
          </w:tcPr>
          <w:p>
            <w:pPr>
              <w:spacing w:before="243" w:line="182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62" w:line="219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体语言运用合理、恰当，教态自然大方。</w:t>
            </w:r>
          </w:p>
        </w:tc>
        <w:tc>
          <w:tcPr>
            <w:tcW w:w="885" w:type="dxa"/>
            <w:vAlign w:val="top"/>
          </w:tcPr>
          <w:p>
            <w:pPr>
              <w:spacing w:before="102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9" w:type="dxa"/>
            <w:vAlign w:val="top"/>
          </w:tcPr>
          <w:p>
            <w:pPr>
              <w:spacing w:before="63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85" w:type="dxa"/>
            <w:vAlign w:val="top"/>
          </w:tcPr>
          <w:p>
            <w:pPr>
              <w:spacing w:before="104" w:line="186" w:lineRule="auto"/>
              <w:ind w:left="3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spacing w:before="3" w:line="198" w:lineRule="auto"/>
              <w:ind w:left="269" w:right="199"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特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分)</w:t>
            </w:r>
          </w:p>
        </w:tc>
        <w:tc>
          <w:tcPr>
            <w:tcW w:w="5799" w:type="dxa"/>
            <w:vAlign w:val="top"/>
          </w:tcPr>
          <w:p>
            <w:pPr>
              <w:spacing w:before="302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学理念先进、风格突出、感染力强、教学效果好。</w:t>
            </w:r>
          </w:p>
        </w:tc>
        <w:tc>
          <w:tcPr>
            <w:tcW w:w="8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133" w:type="dxa"/>
            <w:gridSpan w:val="2"/>
            <w:vAlign w:val="top"/>
          </w:tcPr>
          <w:p>
            <w:pPr>
              <w:spacing w:before="207" w:line="198" w:lineRule="auto"/>
              <w:ind w:left="5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审专家</w:t>
            </w:r>
          </w:p>
          <w:p>
            <w:pPr>
              <w:spacing w:line="220" w:lineRule="auto"/>
              <w:ind w:left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签名)</w:t>
            </w:r>
          </w:p>
        </w:tc>
        <w:tc>
          <w:tcPr>
            <w:tcW w:w="5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spacing w:before="207" w:line="198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计</w:t>
            </w:r>
          </w:p>
          <w:p>
            <w:pPr>
              <w:spacing w:line="218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得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4" w:line="227" w:lineRule="auto"/>
        <w:ind w:left="7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3"/>
          <w:sz w:val="28"/>
          <w:szCs w:val="28"/>
        </w:rPr>
        <w:t>注</w:t>
      </w:r>
      <w:r>
        <w:rPr>
          <w:rFonts w:ascii="仿宋" w:hAnsi="仿宋" w:eastAsia="仿宋" w:cs="仿宋"/>
          <w:spacing w:val="-32"/>
          <w:sz w:val="28"/>
          <w:szCs w:val="28"/>
        </w:rPr>
        <w:t>：评分可保留小数点后两位。</w:t>
      </w:r>
    </w:p>
    <w:p>
      <w:pPr>
        <w:sectPr>
          <w:footerReference r:id="rId5" w:type="default"/>
          <w:pgSz w:w="11907" w:h="16841"/>
          <w:pgMar w:top="1431" w:right="1109" w:bottom="1877" w:left="1111" w:header="0" w:footer="1698" w:gutter="0"/>
          <w:cols w:space="720" w:num="1"/>
        </w:sectPr>
      </w:pPr>
    </w:p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5-2</w:t>
      </w:r>
    </w:p>
    <w:p>
      <w:pPr>
        <w:spacing w:before="152" w:line="171" w:lineRule="auto"/>
        <w:ind w:left="116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5"/>
          <w:sz w:val="36"/>
          <w:szCs w:val="36"/>
        </w:rPr>
        <w:t>山东省高校青年教师教学比赛分组办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法</w:t>
      </w:r>
    </w:p>
    <w:tbl>
      <w:tblPr>
        <w:tblStyle w:val="5"/>
        <w:tblW w:w="8478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888"/>
        <w:gridCol w:w="4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3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组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28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本</w:t>
            </w:r>
            <w:r>
              <w:rPr>
                <w:rFonts w:ascii="黑体" w:hAnsi="黑体" w:eastAsia="黑体" w:cs="黑体"/>
                <w:sz w:val="24"/>
                <w:szCs w:val="24"/>
              </w:rPr>
              <w:t>科(学科门类，含代号)</w:t>
            </w:r>
          </w:p>
        </w:tc>
        <w:tc>
          <w:tcPr>
            <w:tcW w:w="42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12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高职高专(专业大类，含代号)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3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</w:t>
            </w:r>
          </w:p>
        </w:tc>
        <w:tc>
          <w:tcPr>
            <w:tcW w:w="2888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27" w:right="10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01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哲学、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02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经济学、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03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1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学、 04 教育学、05 文学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、</w:t>
            </w:r>
          </w:p>
          <w:p>
            <w:pPr>
              <w:spacing w:before="15" w:line="225" w:lineRule="auto"/>
              <w:ind w:left="129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6 历史学、12 管理学、13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艺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术学</w:t>
            </w:r>
          </w:p>
        </w:tc>
        <w:tc>
          <w:tcPr>
            <w:tcW w:w="42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23" w:right="102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财经商贸大类、64 旅游大类、65 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化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艺术大类、66 新闻传播大类、68 公安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司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法大类、69 公共管理与服务大类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89" w:type="dxa"/>
            <w:vAlign w:val="top"/>
          </w:tcPr>
          <w:p>
            <w:pPr>
              <w:spacing w:before="275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科</w:t>
            </w:r>
          </w:p>
        </w:tc>
        <w:tc>
          <w:tcPr>
            <w:tcW w:w="2888" w:type="dxa"/>
            <w:vAlign w:val="top"/>
          </w:tcPr>
          <w:p>
            <w:pPr>
              <w:spacing w:before="274" w:line="219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7 理学</w:t>
            </w:r>
          </w:p>
        </w:tc>
        <w:tc>
          <w:tcPr>
            <w:tcW w:w="4201" w:type="dxa"/>
            <w:vAlign w:val="top"/>
          </w:tcPr>
          <w:p>
            <w:pPr>
              <w:spacing w:before="275" w:line="218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67 教育与体育大类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13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</w:t>
            </w:r>
          </w:p>
        </w:tc>
        <w:tc>
          <w:tcPr>
            <w:tcW w:w="28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08 工学、09 农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</w:t>
            </w:r>
          </w:p>
        </w:tc>
        <w:tc>
          <w:tcPr>
            <w:tcW w:w="42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113" w:right="10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51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农林牧渔大类、52 资源环境与安全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类、53 能源动力与材料大类、54 土木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筑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大类、55 水利大类 56 装备制造大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、57 生物与化工大类、58 轻工纺织大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、59 食品药品与粮食大类、60 交通运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输大类、61 电子信息大类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38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医学</w:t>
            </w:r>
          </w:p>
        </w:tc>
        <w:tc>
          <w:tcPr>
            <w:tcW w:w="28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0医学</w:t>
            </w:r>
          </w:p>
        </w:tc>
        <w:tc>
          <w:tcPr>
            <w:tcW w:w="42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62医药卫生大类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8478" w:type="dxa"/>
            <w:gridSpan w:val="3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472" w:lineRule="auto"/>
              <w:ind w:left="127" w:right="102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说明：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赛课程分组以其归属的学科门类或专业大类为唯一依据，而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不依授课对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象是何院系或专业的学生为依据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。</w:t>
            </w:r>
          </w:p>
          <w:p>
            <w:pPr>
              <w:spacing w:before="1" w:line="465" w:lineRule="auto"/>
              <w:ind w:left="127" w:right="103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※高职高专序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列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中的“67教育与体育大类”，按具体参赛课程分别分组到文科组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理科组。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41"/>
          <w:pgMar w:top="1431" w:right="1622" w:bottom="1877" w:left="1785" w:header="0" w:footer="1698" w:gutter="0"/>
          <w:cols w:space="720" w:num="1"/>
        </w:sectPr>
      </w:pPr>
    </w:p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5-3</w:t>
      </w:r>
    </w:p>
    <w:p>
      <w:pPr>
        <w:spacing w:before="231" w:line="233" w:lineRule="auto"/>
        <w:ind w:left="2288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山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东省高校青年教师教学比赛</w:t>
      </w:r>
    </w:p>
    <w:p>
      <w:pPr>
        <w:spacing w:line="181" w:lineRule="auto"/>
        <w:ind w:left="334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4"/>
          <w:sz w:val="36"/>
          <w:szCs w:val="36"/>
        </w:rPr>
        <w:t>教学设计评分表</w:t>
      </w:r>
    </w:p>
    <w:p/>
    <w:p/>
    <w:p>
      <w:pPr>
        <w:spacing w:line="50" w:lineRule="exact"/>
      </w:pPr>
    </w:p>
    <w:tbl>
      <w:tblPr>
        <w:tblStyle w:val="5"/>
        <w:tblW w:w="9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5760"/>
        <w:gridCol w:w="1056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418" w:type="dxa"/>
            <w:vAlign w:val="top"/>
          </w:tcPr>
          <w:p>
            <w:pPr>
              <w:spacing w:before="327" w:line="219" w:lineRule="auto"/>
              <w:ind w:left="4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目</w:t>
            </w:r>
          </w:p>
        </w:tc>
        <w:tc>
          <w:tcPr>
            <w:tcW w:w="5760" w:type="dxa"/>
            <w:vAlign w:val="top"/>
          </w:tcPr>
          <w:p>
            <w:pPr>
              <w:spacing w:before="327" w:line="219" w:lineRule="auto"/>
              <w:ind w:left="23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105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值</w:t>
            </w:r>
          </w:p>
        </w:tc>
        <w:tc>
          <w:tcPr>
            <w:tcW w:w="923" w:type="dxa"/>
            <w:vAlign w:val="top"/>
          </w:tcPr>
          <w:p>
            <w:pPr>
              <w:spacing w:before="327" w:line="220" w:lineRule="auto"/>
              <w:ind w:left="1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学设计</w:t>
            </w:r>
          </w:p>
          <w:p>
            <w:pPr>
              <w:spacing w:before="2" w:line="214" w:lineRule="auto"/>
              <w:ind w:left="441" w:right="152" w:hanging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案( 20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)</w:t>
            </w:r>
          </w:p>
        </w:tc>
        <w:tc>
          <w:tcPr>
            <w:tcW w:w="576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紧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密围绕立德树人根本任务。</w:t>
            </w:r>
          </w:p>
        </w:tc>
        <w:tc>
          <w:tcPr>
            <w:tcW w:w="105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符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合教学大纲，内容充实，反映学科前沿。</w:t>
            </w:r>
          </w:p>
        </w:tc>
        <w:tc>
          <w:tcPr>
            <w:tcW w:w="105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学目标明确、思路清晰。</w:t>
            </w:r>
          </w:p>
        </w:tc>
        <w:tc>
          <w:tcPr>
            <w:tcW w:w="105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准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确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把握课程的重点和难点，针对性强。</w:t>
            </w:r>
          </w:p>
        </w:tc>
        <w:tc>
          <w:tcPr>
            <w:tcW w:w="105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0" w:type="dxa"/>
            <w:vAlign w:val="top"/>
          </w:tcPr>
          <w:p>
            <w:pPr>
              <w:spacing w:before="180" w:line="209" w:lineRule="auto"/>
              <w:ind w:left="123" w:right="94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教学进程组织合理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，能够选用信息技术、数字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和信息化教学手段优化教学过程，教学方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手段运用恰当有效。</w:t>
            </w:r>
          </w:p>
        </w:tc>
        <w:tc>
          <w:tcPr>
            <w:tcW w:w="105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字表达准确、简洁，阐述清楚。</w:t>
            </w:r>
          </w:p>
        </w:tc>
        <w:tc>
          <w:tcPr>
            <w:tcW w:w="1056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41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153" w:right="15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审专家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>(签名)</w:t>
            </w:r>
          </w:p>
        </w:tc>
        <w:tc>
          <w:tcPr>
            <w:tcW w:w="5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2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计</w:t>
            </w:r>
          </w:p>
          <w:p>
            <w:pPr>
              <w:spacing w:line="218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得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4" w:line="227" w:lineRule="auto"/>
        <w:ind w:left="4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3"/>
          <w:sz w:val="28"/>
          <w:szCs w:val="28"/>
        </w:rPr>
        <w:t>注</w:t>
      </w:r>
      <w:r>
        <w:rPr>
          <w:rFonts w:ascii="仿宋" w:hAnsi="仿宋" w:eastAsia="仿宋" w:cs="仿宋"/>
          <w:spacing w:val="-32"/>
          <w:sz w:val="28"/>
          <w:szCs w:val="28"/>
        </w:rPr>
        <w:t>：评分可保留小数点后两位。</w:t>
      </w:r>
    </w:p>
    <w:p>
      <w:pPr>
        <w:sectPr>
          <w:footerReference r:id="rId7" w:type="default"/>
          <w:pgSz w:w="11907" w:h="16841"/>
          <w:pgMar w:top="1431" w:right="1370" w:bottom="1877" w:left="1373" w:header="0" w:footer="1698" w:gutter="0"/>
          <w:cols w:space="720" w:num="1"/>
        </w:sectPr>
      </w:pPr>
    </w:p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5-4</w:t>
      </w:r>
    </w:p>
    <w:p>
      <w:pPr>
        <w:spacing w:before="151" w:line="226" w:lineRule="auto"/>
        <w:ind w:left="187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山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东省高校青年教师教学比赛</w:t>
      </w:r>
    </w:p>
    <w:p>
      <w:pPr>
        <w:spacing w:before="2" w:line="170" w:lineRule="auto"/>
        <w:ind w:left="2752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5"/>
          <w:sz w:val="36"/>
          <w:szCs w:val="36"/>
        </w:rPr>
        <w:t>教</w:t>
      </w:r>
      <w:r>
        <w:rPr>
          <w:rFonts w:ascii="微软雅黑" w:hAnsi="微软雅黑" w:eastAsia="微软雅黑" w:cs="微软雅黑"/>
          <w:spacing w:val="-4"/>
          <w:sz w:val="36"/>
          <w:szCs w:val="36"/>
        </w:rPr>
        <w:t>学节段选取办法</w:t>
      </w:r>
    </w:p>
    <w:tbl>
      <w:tblPr>
        <w:tblStyle w:val="5"/>
        <w:tblW w:w="7513" w:type="dxa"/>
        <w:tblInd w:w="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6"/>
        <w:gridCol w:w="3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3826" w:type="dxa"/>
            <w:vAlign w:val="top"/>
          </w:tcPr>
          <w:p>
            <w:pPr>
              <w:spacing w:before="171" w:line="614" w:lineRule="exact"/>
              <w:ind w:left="9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position w:val="25"/>
                <w:sz w:val="28"/>
                <w:szCs w:val="28"/>
              </w:rPr>
              <w:t>参</w:t>
            </w:r>
            <w:r>
              <w:rPr>
                <w:rFonts w:ascii="黑体" w:hAnsi="黑体" w:eastAsia="黑体" w:cs="黑体"/>
                <w:spacing w:val="-4"/>
                <w:position w:val="25"/>
                <w:sz w:val="28"/>
                <w:szCs w:val="28"/>
              </w:rPr>
              <w:t>赛课程使用的</w:t>
            </w:r>
          </w:p>
          <w:p>
            <w:pPr>
              <w:spacing w:line="218" w:lineRule="auto"/>
              <w:ind w:left="9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课本章节数情况</w:t>
            </w:r>
          </w:p>
        </w:tc>
        <w:tc>
          <w:tcPr>
            <w:tcW w:w="368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教学节段选取范围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26" w:type="dxa"/>
            <w:vAlign w:val="top"/>
          </w:tcPr>
          <w:p>
            <w:pPr>
              <w:spacing w:before="225" w:line="219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于20章</w:t>
            </w:r>
          </w:p>
        </w:tc>
        <w:tc>
          <w:tcPr>
            <w:tcW w:w="3687" w:type="dxa"/>
            <w:vAlign w:val="top"/>
          </w:tcPr>
          <w:p>
            <w:pPr>
              <w:spacing w:before="225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在20章中选取，每章1个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26" w:type="dxa"/>
            <w:vAlign w:val="top"/>
          </w:tcPr>
          <w:p>
            <w:pPr>
              <w:spacing w:before="226" w:line="219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于20章</w:t>
            </w:r>
          </w:p>
        </w:tc>
        <w:tc>
          <w:tcPr>
            <w:tcW w:w="3687" w:type="dxa"/>
            <w:vAlign w:val="top"/>
          </w:tcPr>
          <w:p>
            <w:pPr>
              <w:spacing w:before="226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全部的章中选取，每章1个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826" w:type="dxa"/>
            <w:vAlign w:val="top"/>
          </w:tcPr>
          <w:p>
            <w:pPr>
              <w:spacing w:before="224" w:line="21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少于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20章、多于20节</w:t>
            </w:r>
          </w:p>
        </w:tc>
        <w:tc>
          <w:tcPr>
            <w:tcW w:w="3687" w:type="dxa"/>
            <w:vAlign w:val="top"/>
          </w:tcPr>
          <w:p>
            <w:pPr>
              <w:spacing w:before="224" w:line="21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覆盖所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有章、在20节中选取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826" w:type="dxa"/>
            <w:vAlign w:val="top"/>
          </w:tcPr>
          <w:p>
            <w:pPr>
              <w:spacing w:before="254" w:line="218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少于2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0章、等于或少于20节</w:t>
            </w:r>
          </w:p>
        </w:tc>
        <w:tc>
          <w:tcPr>
            <w:tcW w:w="3687" w:type="dxa"/>
            <w:vAlign w:val="top"/>
          </w:tcPr>
          <w:p>
            <w:pPr>
              <w:spacing w:before="254" w:line="218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覆盖所有章、节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41"/>
          <w:pgMar w:top="1431" w:right="1785" w:bottom="1877" w:left="1785" w:header="0" w:footer="1698" w:gutter="0"/>
          <w:cols w:space="720" w:num="1"/>
        </w:sectPr>
      </w:pPr>
    </w:p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5-5</w:t>
      </w:r>
    </w:p>
    <w:p>
      <w:pPr>
        <w:spacing w:before="151" w:line="226" w:lineRule="auto"/>
        <w:ind w:left="187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山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东省高校青年教师教学比赛</w:t>
      </w:r>
    </w:p>
    <w:p>
      <w:pPr>
        <w:spacing w:before="2" w:line="206" w:lineRule="auto"/>
        <w:ind w:left="239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32"/>
          <w:sz w:val="36"/>
          <w:szCs w:val="36"/>
        </w:rPr>
        <w:t>教</w:t>
      </w:r>
      <w:r>
        <w:rPr>
          <w:rFonts w:ascii="微软雅黑" w:hAnsi="微软雅黑" w:eastAsia="微软雅黑" w:cs="微软雅黑"/>
          <w:spacing w:val="27"/>
          <w:sz w:val="36"/>
          <w:szCs w:val="36"/>
        </w:rPr>
        <w:t>学节段目录(范例)</w:t>
      </w:r>
    </w:p>
    <w:p>
      <w:pPr>
        <w:spacing w:before="150" w:line="431" w:lineRule="auto"/>
        <w:ind w:left="24" w:right="55" w:firstLine="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《高级生物化学》教学大纲中基本教学内容共10章，此次教学设计的20个</w:t>
      </w:r>
      <w:r>
        <w:rPr>
          <w:rFonts w:ascii="宋体" w:hAnsi="宋体" w:eastAsia="宋体" w:cs="宋体"/>
          <w:spacing w:val="-3"/>
          <w:sz w:val="24"/>
          <w:szCs w:val="24"/>
        </w:rPr>
        <w:t>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段分别选自第1、2、3、4、5、6、7、8、9和10章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>
      <w:pPr>
        <w:spacing w:before="1" w:line="238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1.稳定蛋白</w:t>
      </w:r>
      <w:r>
        <w:rPr>
          <w:rFonts w:ascii="宋体" w:hAnsi="宋体" w:eastAsia="宋体" w:cs="宋体"/>
          <w:spacing w:val="5"/>
          <w:sz w:val="24"/>
          <w:szCs w:val="24"/>
        </w:rPr>
        <w:t>质</w:t>
      </w:r>
      <w:r>
        <w:rPr>
          <w:rFonts w:ascii="宋体" w:hAnsi="宋体" w:eastAsia="宋体" w:cs="宋体"/>
          <w:spacing w:val="3"/>
          <w:sz w:val="24"/>
          <w:szCs w:val="24"/>
        </w:rPr>
        <w:t>结构的作用力……………………………………………………… 1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选自第一章：蛋白质生物化学/第一节：蛋白质的分子结构</w:t>
      </w:r>
    </w:p>
    <w:p>
      <w:pPr>
        <w:spacing w:before="275" w:line="23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2</w:t>
      </w:r>
      <w:r>
        <w:rPr>
          <w:rFonts w:ascii="宋体" w:hAnsi="宋体" w:eastAsia="宋体" w:cs="宋体"/>
          <w:spacing w:val="7"/>
          <w:sz w:val="24"/>
          <w:szCs w:val="24"/>
        </w:rPr>
        <w:t>.一级结构是空间构象的基础 ………………………………………………… 5</w:t>
      </w:r>
    </w:p>
    <w:p>
      <w:pPr>
        <w:spacing w:before="251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选自第一章：蛋白质生物化学/第三节：蛋白质结构与功能的关系</w:t>
      </w:r>
    </w:p>
    <w:p>
      <w:pPr>
        <w:spacing w:before="275" w:line="23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 xml:space="preserve">3.血红蛋白………………………………………………………………………… </w:t>
      </w:r>
      <w:r>
        <w:rPr>
          <w:rFonts w:ascii="宋体" w:hAnsi="宋体" w:eastAsia="宋体" w:cs="宋体"/>
          <w:sz w:val="24"/>
          <w:szCs w:val="24"/>
        </w:rPr>
        <w:t>9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选自第一章：蛋白质生物化学/第四节：蛋白质的功</w:t>
      </w:r>
      <w:r>
        <w:rPr>
          <w:rFonts w:ascii="宋体" w:hAnsi="宋体" w:eastAsia="宋体" w:cs="宋体"/>
          <w:spacing w:val="-3"/>
          <w:sz w:val="24"/>
          <w:szCs w:val="24"/>
        </w:rPr>
        <w:t>能</w:t>
      </w:r>
    </w:p>
    <w:p>
      <w:pPr>
        <w:spacing w:before="277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9"/>
          <w:sz w:val="24"/>
          <w:szCs w:val="24"/>
        </w:rPr>
        <w:t>4.</w:t>
      </w:r>
      <w:r>
        <w:rPr>
          <w:rFonts w:ascii="宋体" w:hAnsi="宋体" w:eastAsia="宋体" w:cs="宋体"/>
          <w:sz w:val="24"/>
          <w:szCs w:val="24"/>
        </w:rPr>
        <w:t>DNA</w:t>
      </w:r>
      <w:r>
        <w:rPr>
          <w:rFonts w:ascii="宋体" w:hAnsi="宋体" w:eastAsia="宋体" w:cs="宋体"/>
          <w:spacing w:val="19"/>
          <w:sz w:val="24"/>
          <w:szCs w:val="24"/>
        </w:rPr>
        <w:t>是遗传物质的基础…………………………………………………… 1</w:t>
      </w:r>
      <w:r>
        <w:rPr>
          <w:rFonts w:ascii="宋体" w:hAnsi="宋体" w:eastAsia="宋体" w:cs="宋体"/>
          <w:spacing w:val="17"/>
          <w:sz w:val="24"/>
          <w:szCs w:val="24"/>
        </w:rPr>
        <w:t>3</w:t>
      </w:r>
    </w:p>
    <w:p>
      <w:pPr>
        <w:spacing w:before="247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选自第二章：核</w:t>
      </w:r>
      <w:r>
        <w:rPr>
          <w:rFonts w:ascii="宋体" w:hAnsi="宋体" w:eastAsia="宋体" w:cs="宋体"/>
          <w:spacing w:val="-4"/>
          <w:sz w:val="24"/>
          <w:szCs w:val="24"/>
        </w:rPr>
        <w:t>酸</w:t>
      </w:r>
      <w:r>
        <w:rPr>
          <w:rFonts w:ascii="宋体" w:hAnsi="宋体" w:eastAsia="宋体" w:cs="宋体"/>
          <w:spacing w:val="-3"/>
          <w:sz w:val="24"/>
          <w:szCs w:val="24"/>
        </w:rPr>
        <w:t>生物化学/第二节：DNA的空间结构与功能</w:t>
      </w:r>
    </w:p>
    <w:p>
      <w:pPr>
        <w:spacing w:before="275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5.</w:t>
      </w:r>
      <w:r>
        <w:rPr>
          <w:rFonts w:ascii="宋体" w:hAnsi="宋体" w:eastAsia="宋体" w:cs="宋体"/>
          <w:sz w:val="24"/>
          <w:szCs w:val="24"/>
        </w:rPr>
        <w:t>RNAi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…………………………………………………………………………… 1</w:t>
      </w:r>
      <w:r>
        <w:rPr>
          <w:rFonts w:ascii="宋体" w:hAnsi="宋体" w:eastAsia="宋体" w:cs="宋体"/>
          <w:spacing w:val="2"/>
          <w:sz w:val="24"/>
          <w:szCs w:val="24"/>
        </w:rPr>
        <w:t>7</w:t>
      </w:r>
    </w:p>
    <w:p>
      <w:pPr>
        <w:spacing w:before="249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选自第二章：核酸生物化学/第四节：核酸的研究进</w:t>
      </w:r>
      <w:r>
        <w:rPr>
          <w:rFonts w:ascii="宋体" w:hAnsi="宋体" w:eastAsia="宋体" w:cs="宋体"/>
          <w:spacing w:val="-3"/>
          <w:sz w:val="24"/>
          <w:szCs w:val="24"/>
        </w:rPr>
        <w:t>展</w:t>
      </w:r>
    </w:p>
    <w:p>
      <w:pPr>
        <w:spacing w:before="275" w:line="23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6.酶的活性中心……………………………………………………………………2</w:t>
      </w:r>
      <w:r>
        <w:rPr>
          <w:rFonts w:ascii="宋体" w:hAnsi="宋体" w:eastAsia="宋体" w:cs="宋体"/>
          <w:spacing w:val="1"/>
          <w:sz w:val="24"/>
          <w:szCs w:val="24"/>
        </w:rPr>
        <w:t>1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选自第三章：酶的作用原理/第一节：酶的分子结构与功能</w:t>
      </w:r>
    </w:p>
    <w:p>
      <w:pPr>
        <w:spacing w:before="278" w:line="239" w:lineRule="auto"/>
        <w:ind w:left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7.酶作用机制的</w:t>
      </w:r>
      <w:r>
        <w:rPr>
          <w:rFonts w:ascii="宋体" w:hAnsi="宋体" w:eastAsia="宋体" w:cs="宋体"/>
          <w:spacing w:val="3"/>
          <w:sz w:val="24"/>
          <w:szCs w:val="24"/>
        </w:rPr>
        <w:t>实例(胰凝乳蛋白酶)……………………………………………25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选自第三章：酶的作用原理/第二节：酶的工作原</w:t>
      </w:r>
      <w:r>
        <w:rPr>
          <w:rFonts w:ascii="宋体" w:hAnsi="宋体" w:eastAsia="宋体" w:cs="宋体"/>
          <w:spacing w:val="-2"/>
          <w:sz w:val="24"/>
          <w:szCs w:val="24"/>
        </w:rPr>
        <w:t>理</w:t>
      </w:r>
    </w:p>
    <w:p>
      <w:pPr>
        <w:spacing w:before="275" w:line="23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8.糖的无氧氧化……………………………………………………………………2</w:t>
      </w:r>
      <w:r>
        <w:rPr>
          <w:rFonts w:ascii="宋体" w:hAnsi="宋体" w:eastAsia="宋体" w:cs="宋体"/>
          <w:spacing w:val="2"/>
          <w:sz w:val="24"/>
          <w:szCs w:val="24"/>
        </w:rPr>
        <w:t>9</w:t>
      </w:r>
    </w:p>
    <w:p>
      <w:pPr>
        <w:spacing w:before="251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选自第四章</w:t>
      </w:r>
      <w:r>
        <w:rPr>
          <w:rFonts w:ascii="宋体" w:hAnsi="宋体" w:eastAsia="宋体" w:cs="宋体"/>
          <w:spacing w:val="-3"/>
          <w:sz w:val="24"/>
          <w:szCs w:val="24"/>
        </w:rPr>
        <w:t>：糖代谢/第二节: 糖的无氧代谢</w:t>
      </w:r>
    </w:p>
    <w:p>
      <w:pPr>
        <w:spacing w:before="275" w:line="23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9.三羧酸循环………………………………………………………………………3</w:t>
      </w:r>
      <w:r>
        <w:rPr>
          <w:rFonts w:ascii="宋体" w:hAnsi="宋体" w:eastAsia="宋体" w:cs="宋体"/>
          <w:spacing w:val="2"/>
          <w:sz w:val="24"/>
          <w:szCs w:val="24"/>
        </w:rPr>
        <w:t>3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选自第四章：糖代谢/第三节：糖的有氧氧</w:t>
      </w:r>
      <w:r>
        <w:rPr>
          <w:rFonts w:ascii="宋体" w:hAnsi="宋体" w:eastAsia="宋体" w:cs="宋体"/>
          <w:spacing w:val="-2"/>
          <w:sz w:val="24"/>
          <w:szCs w:val="24"/>
        </w:rPr>
        <w:t>化</w:t>
      </w:r>
    </w:p>
    <w:p>
      <w:pPr>
        <w:sectPr>
          <w:footerReference r:id="rId9" w:type="default"/>
          <w:pgSz w:w="11907" w:h="16841"/>
          <w:pgMar w:top="1431" w:right="1785" w:bottom="1877" w:left="1785" w:header="0" w:footer="1698" w:gutter="0"/>
          <w:cols w:space="720" w:num="1"/>
        </w:sectPr>
      </w:pPr>
    </w:p>
    <w:p>
      <w:pPr>
        <w:spacing w:before="251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10.血糖及其调节………………………………………………………………3</w:t>
      </w:r>
      <w:r>
        <w:rPr>
          <w:rFonts w:ascii="宋体" w:hAnsi="宋体" w:eastAsia="宋体" w:cs="宋体"/>
          <w:spacing w:val="9"/>
          <w:sz w:val="24"/>
          <w:szCs w:val="24"/>
        </w:rPr>
        <w:t>7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选自第四章：糖代谢/第八节：血糖及其调</w:t>
      </w:r>
      <w:r>
        <w:rPr>
          <w:rFonts w:ascii="宋体" w:hAnsi="宋体" w:eastAsia="宋体" w:cs="宋体"/>
          <w:spacing w:val="-2"/>
          <w:sz w:val="24"/>
          <w:szCs w:val="24"/>
        </w:rPr>
        <w:t>节</w:t>
      </w:r>
    </w:p>
    <w:p>
      <w:pPr>
        <w:spacing w:before="277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11.甘油三酯的分解代谢…………………………………………………………4</w:t>
      </w:r>
      <w:r>
        <w:rPr>
          <w:rFonts w:ascii="宋体" w:hAnsi="宋体" w:eastAsia="宋体" w:cs="宋体"/>
          <w:spacing w:val="2"/>
          <w:sz w:val="24"/>
          <w:szCs w:val="24"/>
        </w:rPr>
        <w:t>1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选自第五章：代谢调节/第一节：甘油三脂代</w:t>
      </w:r>
      <w:r>
        <w:rPr>
          <w:rFonts w:ascii="宋体" w:hAnsi="宋体" w:eastAsia="宋体" w:cs="宋体"/>
          <w:spacing w:val="-3"/>
          <w:sz w:val="24"/>
          <w:szCs w:val="24"/>
        </w:rPr>
        <w:t>谢</w:t>
      </w:r>
    </w:p>
    <w:p>
      <w:pPr>
        <w:spacing w:before="274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12.</w:t>
      </w:r>
      <w:r>
        <w:rPr>
          <w:rFonts w:ascii="宋体" w:hAnsi="宋体" w:eastAsia="宋体" w:cs="宋体"/>
          <w:sz w:val="24"/>
          <w:szCs w:val="24"/>
        </w:rPr>
        <w:t>酮体的生成和利用………………………………………………………………45</w:t>
      </w:r>
    </w:p>
    <w:p>
      <w:pPr>
        <w:spacing w:before="250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选自第五章：代谢调节/第二节：脂酸的其他代</w:t>
      </w:r>
      <w:r>
        <w:rPr>
          <w:rFonts w:ascii="宋体" w:hAnsi="宋体" w:eastAsia="宋体" w:cs="宋体"/>
          <w:spacing w:val="-3"/>
          <w:sz w:val="24"/>
          <w:szCs w:val="24"/>
        </w:rPr>
        <w:t>谢</w:t>
      </w:r>
    </w:p>
    <w:p>
      <w:pPr>
        <w:spacing w:before="275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13.</w:t>
      </w:r>
      <w:r>
        <w:rPr>
          <w:rFonts w:ascii="宋体" w:hAnsi="宋体" w:eastAsia="宋体" w:cs="宋体"/>
          <w:sz w:val="24"/>
          <w:szCs w:val="24"/>
        </w:rPr>
        <w:t>泛素介导的蛋白质降解…………………………………………………………49</w:t>
      </w:r>
    </w:p>
    <w:p>
      <w:pPr>
        <w:spacing w:before="249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选自第五章：代谢调节/第三节：蛋白质的消化、吸收和降解</w:t>
      </w:r>
    </w:p>
    <w:p>
      <w:pPr>
        <w:spacing w:before="277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14.</w:t>
      </w:r>
      <w:r>
        <w:rPr>
          <w:rFonts w:ascii="宋体" w:hAnsi="宋体" w:eastAsia="宋体" w:cs="宋体"/>
          <w:sz w:val="24"/>
          <w:szCs w:val="24"/>
        </w:rPr>
        <w:t>氧化磷酸化偶联机制……………………………………………………………53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选自第六章：生</w:t>
      </w:r>
      <w:r>
        <w:rPr>
          <w:rFonts w:ascii="宋体" w:hAnsi="宋体" w:eastAsia="宋体" w:cs="宋体"/>
          <w:spacing w:val="-4"/>
          <w:sz w:val="24"/>
          <w:szCs w:val="24"/>
        </w:rPr>
        <w:t>物</w:t>
      </w:r>
      <w:r>
        <w:rPr>
          <w:rFonts w:ascii="宋体" w:hAnsi="宋体" w:eastAsia="宋体" w:cs="宋体"/>
          <w:spacing w:val="-3"/>
          <w:sz w:val="24"/>
          <w:szCs w:val="24"/>
        </w:rPr>
        <w:t>氧化/第一节：生成 ATP 的氧化磷酸化关键酶体系</w:t>
      </w:r>
    </w:p>
    <w:p>
      <w:pPr>
        <w:spacing w:before="275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15.</w:t>
      </w:r>
      <w:r>
        <w:rPr>
          <w:rFonts w:ascii="宋体" w:hAnsi="宋体" w:eastAsia="宋体" w:cs="宋体"/>
          <w:sz w:val="24"/>
          <w:szCs w:val="24"/>
        </w:rPr>
        <w:t>物质代谢的相互联系……………………………………………………………57</w:t>
      </w:r>
    </w:p>
    <w:p>
      <w:pPr>
        <w:spacing w:before="251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选自第七章：物质代</w:t>
      </w:r>
      <w:r>
        <w:rPr>
          <w:rFonts w:ascii="宋体" w:hAnsi="宋体" w:eastAsia="宋体" w:cs="宋体"/>
          <w:spacing w:val="-3"/>
          <w:sz w:val="24"/>
          <w:szCs w:val="24"/>
        </w:rPr>
        <w:t>谢的联系与调节/第一节：生成 ATP 的氧化磷酸化酶体系</w:t>
      </w:r>
    </w:p>
    <w:p>
      <w:pPr>
        <w:spacing w:before="275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16.端粒和端粒酶…………………………………………………………………6</w:t>
      </w:r>
      <w:r>
        <w:rPr>
          <w:rFonts w:ascii="宋体" w:hAnsi="宋体" w:eastAsia="宋体" w:cs="宋体"/>
          <w:spacing w:val="2"/>
          <w:sz w:val="24"/>
          <w:szCs w:val="24"/>
        </w:rPr>
        <w:t>1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选自第八章：遗</w:t>
      </w:r>
      <w:r>
        <w:rPr>
          <w:rFonts w:ascii="宋体" w:hAnsi="宋体" w:eastAsia="宋体" w:cs="宋体"/>
          <w:spacing w:val="-5"/>
          <w:sz w:val="24"/>
          <w:szCs w:val="24"/>
        </w:rPr>
        <w:t>传</w:t>
      </w:r>
      <w:r>
        <w:rPr>
          <w:rFonts w:ascii="宋体" w:hAnsi="宋体" w:eastAsia="宋体" w:cs="宋体"/>
          <w:spacing w:val="-3"/>
          <w:sz w:val="24"/>
          <w:szCs w:val="24"/>
        </w:rPr>
        <w:t>信息传递的中心法则/第一节：DNA 的生物合成</w:t>
      </w:r>
    </w:p>
    <w:p>
      <w:pPr>
        <w:spacing w:before="276" w:line="220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0"/>
          <w:sz w:val="24"/>
          <w:szCs w:val="24"/>
        </w:rPr>
        <w:t>1</w:t>
      </w:r>
      <w:r>
        <w:rPr>
          <w:rFonts w:ascii="宋体" w:hAnsi="宋体" w:eastAsia="宋体" w:cs="宋体"/>
          <w:spacing w:val="13"/>
          <w:sz w:val="24"/>
          <w:szCs w:val="24"/>
        </w:rPr>
        <w:t>7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.真核生物 </w:t>
      </w:r>
      <w:r>
        <w:rPr>
          <w:rFonts w:ascii="宋体" w:hAnsi="宋体" w:eastAsia="宋体" w:cs="宋体"/>
          <w:sz w:val="24"/>
          <w:szCs w:val="24"/>
        </w:rPr>
        <w:t>RNA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转录产物的加工……………………………………………65</w:t>
      </w:r>
    </w:p>
    <w:p>
      <w:pPr>
        <w:spacing w:before="274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选自第八章：遗</w:t>
      </w:r>
      <w:r>
        <w:rPr>
          <w:rFonts w:ascii="宋体" w:hAnsi="宋体" w:eastAsia="宋体" w:cs="宋体"/>
          <w:spacing w:val="-5"/>
          <w:sz w:val="24"/>
          <w:szCs w:val="24"/>
        </w:rPr>
        <w:t>传</w:t>
      </w:r>
      <w:r>
        <w:rPr>
          <w:rFonts w:ascii="宋体" w:hAnsi="宋体" w:eastAsia="宋体" w:cs="宋体"/>
          <w:spacing w:val="-3"/>
          <w:sz w:val="24"/>
          <w:szCs w:val="24"/>
        </w:rPr>
        <w:t>信息传递的中心法则/第二节：RNA 的生物合成</w:t>
      </w:r>
    </w:p>
    <w:p>
      <w:pPr>
        <w:spacing w:before="275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18.肽链的生物合成过程…………………………………………………………6</w:t>
      </w:r>
      <w:r>
        <w:rPr>
          <w:rFonts w:ascii="宋体" w:hAnsi="宋体" w:eastAsia="宋体" w:cs="宋体"/>
          <w:spacing w:val="2"/>
          <w:sz w:val="24"/>
          <w:szCs w:val="24"/>
        </w:rPr>
        <w:t>9</w:t>
      </w:r>
    </w:p>
    <w:p>
      <w:pPr>
        <w:spacing w:before="250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选自第八章：遗传信息传递的中心法则/第三节：蛋白质的生物合</w:t>
      </w:r>
      <w:r>
        <w:rPr>
          <w:rFonts w:ascii="宋体" w:hAnsi="宋体" w:eastAsia="宋体" w:cs="宋体"/>
          <w:spacing w:val="-3"/>
          <w:sz w:val="24"/>
          <w:szCs w:val="24"/>
        </w:rPr>
        <w:t>成</w:t>
      </w:r>
    </w:p>
    <w:p>
      <w:pPr>
        <w:spacing w:before="276" w:line="23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19.操纵子调控模型………………………………………………………………7</w:t>
      </w:r>
      <w:r>
        <w:rPr>
          <w:rFonts w:ascii="宋体" w:hAnsi="宋体" w:eastAsia="宋体" w:cs="宋体"/>
          <w:spacing w:val="2"/>
          <w:sz w:val="24"/>
          <w:szCs w:val="24"/>
        </w:rPr>
        <w:t>3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选自第九章：基因表达调控/第三节：原核基因表达调节</w:t>
      </w:r>
    </w:p>
    <w:p>
      <w:pPr>
        <w:spacing w:before="277" w:line="23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2</w:t>
      </w:r>
      <w:r>
        <w:rPr>
          <w:rFonts w:ascii="宋体" w:hAnsi="宋体" w:eastAsia="宋体" w:cs="宋体"/>
          <w:spacing w:val="10"/>
          <w:sz w:val="24"/>
          <w:szCs w:val="24"/>
        </w:rPr>
        <w:t>0</w:t>
      </w:r>
      <w:r>
        <w:rPr>
          <w:rFonts w:ascii="宋体" w:hAnsi="宋体" w:eastAsia="宋体" w:cs="宋体"/>
          <w:spacing w:val="7"/>
          <w:sz w:val="24"/>
          <w:szCs w:val="24"/>
        </w:rPr>
        <w:t>.油菜素内酯的信号转导模式…………………………………………………77</w:t>
      </w:r>
    </w:p>
    <w:p>
      <w:pPr>
        <w:spacing w:before="248" w:line="219" w:lineRule="auto"/>
        <w:ind w:left="2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选自第十章：细胞信号转导/第四节：植物激素及其受体的研究进</w:t>
      </w:r>
      <w:r>
        <w:rPr>
          <w:rFonts w:ascii="宋体" w:hAnsi="宋体" w:eastAsia="宋体" w:cs="宋体"/>
          <w:spacing w:val="-3"/>
          <w:sz w:val="24"/>
          <w:szCs w:val="24"/>
        </w:rPr>
        <w:t>展</w:t>
      </w:r>
    </w:p>
    <w:p>
      <w:pPr>
        <w:sectPr>
          <w:footerReference r:id="rId10" w:type="default"/>
          <w:pgSz w:w="11907" w:h="16841"/>
          <w:pgMar w:top="1431" w:right="1785" w:bottom="1876" w:left="1785" w:header="0" w:footer="1698" w:gutter="0"/>
          <w:cols w:space="720" w:num="1"/>
        </w:sectPr>
      </w:pPr>
    </w:p>
    <w:p>
      <w:pPr>
        <w:spacing w:before="153" w:line="224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18"/>
          <w:sz w:val="31"/>
          <w:szCs w:val="31"/>
          <w:lang w:val="en-US" w:eastAsia="zh-CN"/>
        </w:rPr>
        <w:t>5-6</w:t>
      </w:r>
    </w:p>
    <w:p>
      <w:pPr>
        <w:spacing w:before="231" w:line="233" w:lineRule="auto"/>
        <w:ind w:left="210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山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东省高校青年教师教学比赛</w:t>
      </w:r>
    </w:p>
    <w:p>
      <w:pPr>
        <w:spacing w:line="181" w:lineRule="auto"/>
        <w:ind w:left="316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4"/>
          <w:sz w:val="36"/>
          <w:szCs w:val="36"/>
        </w:rPr>
        <w:t>教学反思评分表</w:t>
      </w:r>
    </w:p>
    <w:p/>
    <w:p/>
    <w:p>
      <w:pPr>
        <w:spacing w:line="50" w:lineRule="exact"/>
      </w:pPr>
    </w:p>
    <w:tbl>
      <w:tblPr>
        <w:tblStyle w:val="5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4690"/>
        <w:gridCol w:w="1260"/>
        <w:gridCol w:w="1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35" w:type="dxa"/>
            <w:vAlign w:val="top"/>
          </w:tcPr>
          <w:p>
            <w:pPr>
              <w:spacing w:before="241" w:line="219" w:lineRule="auto"/>
              <w:ind w:left="5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目</w:t>
            </w:r>
          </w:p>
        </w:tc>
        <w:tc>
          <w:tcPr>
            <w:tcW w:w="4690" w:type="dxa"/>
            <w:vAlign w:val="top"/>
          </w:tcPr>
          <w:p>
            <w:pPr>
              <w:spacing w:before="241" w:line="219" w:lineRule="auto"/>
              <w:ind w:left="17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vAlign w:val="top"/>
          </w:tcPr>
          <w:p>
            <w:pPr>
              <w:spacing w:before="241" w:line="220" w:lineRule="auto"/>
              <w:ind w:left="3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值</w:t>
            </w:r>
          </w:p>
        </w:tc>
        <w:tc>
          <w:tcPr>
            <w:tcW w:w="1309" w:type="dxa"/>
            <w:vAlign w:val="top"/>
          </w:tcPr>
          <w:p>
            <w:pPr>
              <w:spacing w:before="241" w:line="220" w:lineRule="auto"/>
              <w:ind w:left="3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5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91" w:line="198" w:lineRule="auto"/>
              <w:ind w:left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  <w:p>
            <w:pPr>
              <w:spacing w:before="1" w:line="197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反思</w:t>
            </w:r>
          </w:p>
          <w:p>
            <w:pPr>
              <w:spacing w:line="220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分)</w:t>
            </w:r>
          </w:p>
        </w:tc>
        <w:tc>
          <w:tcPr>
            <w:tcW w:w="469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06" w:lineRule="auto"/>
              <w:ind w:left="114" w:right="160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从教学理念、教学方法、教学过程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着手，做到联系实际、思路清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晰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观点明确、文理通顺，有感而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发。</w:t>
            </w:r>
          </w:p>
        </w:tc>
        <w:tc>
          <w:tcPr>
            <w:tcW w:w="126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535" w:type="dxa"/>
            <w:vAlign w:val="top"/>
          </w:tcPr>
          <w:p>
            <w:pPr>
              <w:spacing w:before="279" w:line="215" w:lineRule="auto"/>
              <w:ind w:left="213" w:right="207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审专家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>(签名)</w:t>
            </w:r>
          </w:p>
        </w:tc>
        <w:tc>
          <w:tcPr>
            <w:tcW w:w="72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4" w:line="227" w:lineRule="auto"/>
        <w:ind w:left="2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28"/>
          <w:szCs w:val="28"/>
        </w:rPr>
        <w:t>注</w:t>
      </w:r>
      <w:r>
        <w:rPr>
          <w:rFonts w:ascii="仿宋" w:hAnsi="仿宋" w:eastAsia="仿宋" w:cs="仿宋"/>
          <w:spacing w:val="-32"/>
          <w:sz w:val="28"/>
          <w:szCs w:val="28"/>
        </w:rPr>
        <w:t>：评分可保留小数点后两位。</w:t>
      </w:r>
      <w:bookmarkStart w:id="0" w:name="_GoBack"/>
      <w:bookmarkEnd w:id="0"/>
    </w:p>
    <w:sectPr>
      <w:footerReference r:id="rId11" w:type="default"/>
      <w:pgSz w:w="11912" w:h="16841"/>
      <w:pgMar w:top="1431" w:right="1436" w:bottom="1835" w:left="1452" w:header="0" w:footer="16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73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6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8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hint="eastAsia" w:ascii="宋体" w:hAnsi="宋体" w:eastAsia="宋体" w:cs="宋体"/>
        <w:spacing w:val="-6"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11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6"/>
        <w:sz w:val="18"/>
        <w:szCs w:val="18"/>
        <w:lang w:val="en-US" w:eastAsia="zh-C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8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6"/>
        <w:sz w:val="18"/>
        <w:szCs w:val="18"/>
        <w:lang w:val="en-US" w:eastAsia="zh-CN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8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6"/>
        <w:sz w:val="18"/>
        <w:szCs w:val="18"/>
        <w:lang w:val="en-US" w:eastAsia="zh-CN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87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2"/>
        <w:sz w:val="18"/>
        <w:szCs w:val="18"/>
        <w:lang w:val="en-US" w:eastAsia="zh-CN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23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pacing w:val="-2"/>
        <w:sz w:val="18"/>
        <w:szCs w:val="18"/>
        <w:lang w:val="en-US" w:eastAsia="zh-C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5F720D"/>
    <w:rsid w:val="75923D82"/>
    <w:rsid w:val="7A5D5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2483</Words>
  <Characters>2605</Characters>
  <TotalTime>1</TotalTime>
  <ScaleCrop>false</ScaleCrop>
  <LinksUpToDate>false</LinksUpToDate>
  <CharactersWithSpaces>2699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2021-12-03T16:36:00Z</dcterms:created>
  <dc:creator>Administrator</dc:creator>
  <cp:lastModifiedBy>于小雪</cp:lastModifiedBy>
  <dcterms:modified xsi:type="dcterms:W3CDTF">2022-04-15T00:23:39Z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2022-04-14T10:39:45Z</vt:filetime>
  </property>
  <property fmtid="{D5CDD505-2E9C-101B-9397-08002B2CF9AE}" pid="4" name="commondata">
    <vt:lpwstr>eyJoZGlkIjoiYzZkMmIxZDhkOGIxMWY4OTIyMTNhZjQwZWQwZGM0OTYifQ==</vt:lpwstr>
  </property>
  <property fmtid="{D5CDD505-2E9C-101B-9397-08002B2CF9AE}" pid="5" name="KSOProductBuildVer">
    <vt:lpwstr>2052-11.1.0.11636</vt:lpwstr>
  </property>
  <property fmtid="{D5CDD505-2E9C-101B-9397-08002B2CF9AE}" pid="6" name="ICV">
    <vt:lpwstr>0F0E8088AAD24BC6B07ADB63896497A9</vt:lpwstr>
  </property>
</Properties>
</file>