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eastAsia="宋体"/>
          <w:b/>
          <w:color w:val="FF0000"/>
          <w:spacing w:val="28"/>
          <w:w w:val="80"/>
          <w:sz w:val="72"/>
          <w:szCs w:val="72"/>
        </w:rPr>
      </w:pPr>
      <w:r>
        <w:rPr>
          <w:rFonts w:hint="eastAsia" w:ascii="宋体" w:hAnsi="宋体" w:eastAsia="宋体"/>
          <w:b/>
          <w:color w:val="FF0000"/>
          <w:kern w:val="0"/>
          <w:sz w:val="72"/>
          <w:szCs w:val="72"/>
        </w:rPr>
        <w:t>山东理工大学机械工程</w:t>
      </w:r>
      <w:r>
        <w:rPr>
          <w:rFonts w:hint="eastAsia" w:ascii="宋体" w:hAnsi="宋体" w:eastAsia="宋体"/>
          <w:b/>
          <w:color w:val="FF0000"/>
          <w:kern w:val="0"/>
          <w:sz w:val="72"/>
          <w:szCs w:val="72"/>
          <w:lang w:val="en-US" w:eastAsia="zh-CN"/>
        </w:rPr>
        <w:t>学</w:t>
      </w:r>
      <w:r>
        <w:rPr>
          <w:rFonts w:hint="eastAsia" w:ascii="宋体" w:hAnsi="宋体" w:eastAsia="宋体"/>
          <w:b/>
          <w:color w:val="FF0000"/>
          <w:kern w:val="0"/>
          <w:sz w:val="72"/>
          <w:szCs w:val="72"/>
        </w:rPr>
        <w:t>院</w:t>
      </w:r>
    </w:p>
    <w:p>
      <w:pPr>
        <w:spacing w:line="560" w:lineRule="exact"/>
        <w:jc w:val="center"/>
        <w:rPr>
          <w:b/>
          <w:color w:val="FF0000"/>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297180</wp:posOffset>
                </wp:positionV>
                <wp:extent cx="5715000" cy="0"/>
                <wp:effectExtent l="0" t="28575" r="0" b="28575"/>
                <wp:wrapTopAndBottom/>
                <wp:docPr id="1" name="DocMarkLine"/>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9pt;margin-top:23.4pt;height:0pt;width:450pt;mso-wrap-distance-bottom:0pt;mso-wrap-distance-top:0pt;z-index:251659264;mso-width-relative:page;mso-height-relative:page;" filled="f" stroked="t" coordsize="21600,21600" o:gfxdata="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GVISTUAAAACQEAAA8AAAAA&#10;AAAAAQAgAAAAIgAAAGRycy9kb3ducmV2LnhtbFBLAQIUABQAAAAIAIdO4kCwPYoK3wEAAOUDAAAO&#10;AAAAAAAAAAEAIAAAACMBAABkcnMvZTJvRG9jLnhtbFBLBQYAAAAABgAGAFkBAAB0BQAAAAA=&#10;">
                <v:fill on="f" focussize="0,0"/>
                <v:stroke weight="4.5pt" color="#FF0000" linestyle="thickThin" joinstyle="round"/>
                <v:imagedata o:title=""/>
                <o:lock v:ext="edit" aspectratio="f"/>
                <w10:wrap type="topAndBottom"/>
              </v:line>
            </w:pict>
          </mc:Fallback>
        </mc:AlternateContent>
      </w:r>
      <w:r>
        <w:rPr>
          <w:rFonts w:hint="eastAsia"/>
          <w:b/>
          <w:color w:val="FF0000"/>
          <w:sz w:val="21"/>
          <w:szCs w:val="21"/>
        </w:rPr>
        <w:t xml:space="preserve">        </w:t>
      </w:r>
    </w:p>
    <w:p>
      <w:pPr>
        <w:spacing w:line="560" w:lineRule="exact"/>
        <w:jc w:val="right"/>
        <w:rPr>
          <w:rFonts w:hint="eastAsia" w:ascii="仿宋" w:hAnsi="仿宋" w:eastAsia="仿宋"/>
          <w:szCs w:val="32"/>
        </w:rPr>
      </w:pPr>
      <w:r>
        <w:rPr>
          <w:rFonts w:hint="eastAsia" w:ascii="仿宋" w:hAnsi="仿宋" w:eastAsia="仿宋"/>
          <w:szCs w:val="32"/>
        </w:rPr>
        <w:t>机械院字〔</w:t>
      </w:r>
      <w:r>
        <w:rPr>
          <w:rFonts w:ascii="仿宋" w:hAnsi="仿宋" w:eastAsia="仿宋"/>
          <w:szCs w:val="32"/>
        </w:rPr>
        <w:t>202</w:t>
      </w:r>
      <w:r>
        <w:rPr>
          <w:rFonts w:hint="eastAsia" w:ascii="仿宋" w:hAnsi="仿宋" w:eastAsia="仿宋"/>
          <w:szCs w:val="32"/>
          <w:lang w:val="en-US" w:eastAsia="zh-CN"/>
        </w:rPr>
        <w:t>2</w:t>
      </w:r>
      <w:r>
        <w:rPr>
          <w:rFonts w:hint="eastAsia" w:ascii="仿宋" w:hAnsi="仿宋" w:eastAsia="仿宋"/>
          <w:szCs w:val="32"/>
        </w:rPr>
        <w:t>〕</w:t>
      </w:r>
      <w:r>
        <w:rPr>
          <w:rFonts w:hint="eastAsia" w:ascii="仿宋" w:hAnsi="仿宋" w:eastAsia="仿宋"/>
          <w:szCs w:val="32"/>
          <w:lang w:val="en-US" w:eastAsia="zh-CN"/>
        </w:rPr>
        <w:t>4</w:t>
      </w:r>
      <w:r>
        <w:rPr>
          <w:rFonts w:hint="eastAsia" w:ascii="仿宋" w:hAnsi="仿宋" w:eastAsia="仿宋"/>
          <w:szCs w:val="32"/>
        </w:rPr>
        <w:t>号</w:t>
      </w:r>
    </w:p>
    <w:p>
      <w:pPr>
        <w:spacing w:line="560" w:lineRule="exact"/>
        <w:jc w:val="right"/>
        <w:rPr>
          <w:rFonts w:hint="eastAsia" w:ascii="仿宋" w:hAnsi="仿宋" w:eastAsia="仿宋"/>
          <w:szCs w:val="32"/>
        </w:rPr>
      </w:pPr>
    </w:p>
    <w:p>
      <w:pPr>
        <w:spacing w:line="560" w:lineRule="exact"/>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b w:val="0"/>
          <w:bCs w:val="0"/>
          <w:sz w:val="44"/>
          <w:szCs w:val="44"/>
        </w:rPr>
        <w:t>关于印发《</w:t>
      </w:r>
      <w:r>
        <w:rPr>
          <w:rFonts w:hint="eastAsia" w:asciiTheme="majorEastAsia" w:hAnsiTheme="majorEastAsia" w:eastAsiaTheme="majorEastAsia" w:cstheme="majorEastAsia"/>
          <w:sz w:val="44"/>
        </w:rPr>
        <w:t>机械工程学院</w:t>
      </w:r>
    </w:p>
    <w:p>
      <w:pPr>
        <w:pStyle w:val="2"/>
        <w:spacing w:before="0" w:beforeLines="0" w:line="640" w:lineRule="exact"/>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sz w:val="44"/>
        </w:rPr>
        <w:t>关于学校奖学金评选的补充规定</w:t>
      </w:r>
      <w:r>
        <w:rPr>
          <w:rFonts w:hint="eastAsia" w:asciiTheme="majorEastAsia" w:hAnsiTheme="majorEastAsia" w:eastAsiaTheme="majorEastAsia" w:cstheme="majorEastAsia"/>
          <w:b w:val="0"/>
          <w:bCs w:val="0"/>
          <w:sz w:val="44"/>
          <w:szCs w:val="44"/>
        </w:rPr>
        <w:t>》的通知</w:t>
      </w:r>
    </w:p>
    <w:p>
      <w:pPr>
        <w:spacing w:line="640" w:lineRule="exact"/>
        <w:rPr>
          <w:rFonts w:hint="eastAsia" w:asciiTheme="majorEastAsia" w:hAnsiTheme="majorEastAsia" w:eastAsiaTheme="majorEastAsia" w:cstheme="majorEastAsia"/>
          <w:b w:val="0"/>
          <w:bCs w:val="0"/>
          <w:sz w:val="44"/>
          <w:szCs w:val="44"/>
        </w:rPr>
      </w:pPr>
    </w:p>
    <w:p>
      <w:pPr>
        <w:spacing w:line="640" w:lineRule="exact"/>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color w:val="auto"/>
          <w:sz w:val="32"/>
          <w:szCs w:val="32"/>
        </w:rPr>
        <w:t>各</w:t>
      </w:r>
      <w:r>
        <w:rPr>
          <w:rFonts w:hint="eastAsia" w:ascii="仿宋_GB2312" w:hAnsi="方正小标宋简体" w:cs="方正小标宋简体"/>
          <w:color w:val="auto"/>
          <w:sz w:val="32"/>
          <w:szCs w:val="32"/>
          <w:lang w:val="en-US" w:eastAsia="zh-CN"/>
        </w:rPr>
        <w:t>系（</w:t>
      </w:r>
      <w:r>
        <w:rPr>
          <w:rFonts w:hint="eastAsia" w:ascii="仿宋_GB2312" w:hAnsi="方正小标宋简体" w:eastAsia="仿宋_GB2312" w:cs="方正小标宋简体"/>
          <w:color w:val="auto"/>
          <w:sz w:val="32"/>
          <w:szCs w:val="32"/>
        </w:rPr>
        <w:t>中心</w:t>
      </w:r>
      <w:r>
        <w:rPr>
          <w:rFonts w:hint="eastAsia" w:ascii="仿宋_GB2312" w:hAnsi="方正小标宋简体" w:cs="方正小标宋简体"/>
          <w:color w:val="auto"/>
          <w:sz w:val="32"/>
          <w:szCs w:val="32"/>
          <w:lang w:eastAsia="zh-CN"/>
        </w:rPr>
        <w:t>）</w:t>
      </w:r>
      <w:r>
        <w:rPr>
          <w:rFonts w:hint="eastAsia" w:ascii="仿宋_GB2312" w:hAnsi="方正小标宋简体" w:cs="方正小标宋简体"/>
          <w:sz w:val="32"/>
          <w:szCs w:val="32"/>
          <w:lang w:eastAsia="zh-CN"/>
        </w:rPr>
        <w:t>、</w:t>
      </w:r>
      <w:r>
        <w:rPr>
          <w:rFonts w:hint="eastAsia" w:ascii="仿宋_GB2312" w:hAnsi="方正小标宋简体" w:cs="方正小标宋简体"/>
          <w:sz w:val="32"/>
          <w:szCs w:val="32"/>
          <w:lang w:val="en-US" w:eastAsia="zh-CN"/>
        </w:rPr>
        <w:t>科室</w:t>
      </w:r>
      <w:r>
        <w:rPr>
          <w:rFonts w:hint="eastAsia" w:ascii="仿宋_GB2312" w:hAnsi="方正小标宋简体" w:eastAsia="仿宋_GB2312" w:cs="方正小标宋简体"/>
          <w:sz w:val="32"/>
          <w:szCs w:val="32"/>
        </w:rPr>
        <w:t>：</w:t>
      </w:r>
    </w:p>
    <w:p>
      <w:pPr>
        <w:spacing w:line="640" w:lineRule="exact"/>
        <w:rPr>
          <w:rFonts w:hint="eastAsia" w:ascii="仿宋_GB2312" w:hAnsi="方正小标宋简体" w:eastAsia="仿宋_GB2312" w:cs="方正小标宋简体"/>
          <w:bCs w:val="0"/>
          <w:kern w:val="2"/>
          <w:sz w:val="32"/>
          <w:szCs w:val="32"/>
          <w:lang w:val="en-US" w:eastAsia="zh-CN" w:bidi="ar-SA"/>
        </w:rPr>
      </w:pPr>
      <w:r>
        <w:rPr>
          <w:rFonts w:hint="eastAsia" w:ascii="仿宋_GB2312" w:hAnsi="方正小标宋简体" w:cs="方正小标宋简体"/>
          <w:sz w:val="32"/>
          <w:szCs w:val="32"/>
          <w:lang w:eastAsia="zh-CN"/>
        </w:rPr>
        <w:t>《</w:t>
      </w:r>
      <w:r>
        <w:rPr>
          <w:rFonts w:hint="eastAsia" w:ascii="仿宋_GB2312" w:hAnsi="方正小标宋简体" w:eastAsia="仿宋_GB2312" w:cs="方正小标宋简体"/>
          <w:bCs w:val="0"/>
          <w:kern w:val="2"/>
          <w:sz w:val="32"/>
          <w:szCs w:val="32"/>
          <w:lang w:val="en-US" w:eastAsia="zh-CN" w:bidi="ar-SA"/>
        </w:rPr>
        <w:t>机械工程学院关于学校奖学金评选的补充规定》业经研究同意，现予以印发，请认真贯彻执行。</w:t>
      </w:r>
    </w:p>
    <w:p>
      <w:pPr>
        <w:spacing w:line="640" w:lineRule="exact"/>
        <w:rPr>
          <w:rFonts w:hint="eastAsia" w:ascii="仿宋_GB2312" w:hAnsi="方正小标宋简体" w:eastAsia="仿宋_GB2312" w:cs="方正小标宋简体"/>
          <w:bCs w:val="0"/>
          <w:kern w:val="2"/>
          <w:sz w:val="32"/>
          <w:szCs w:val="32"/>
          <w:lang w:val="en-US" w:eastAsia="zh-CN" w:bidi="ar-SA"/>
        </w:rPr>
      </w:pPr>
    </w:p>
    <w:p>
      <w:pPr>
        <w:spacing w:line="640" w:lineRule="exact"/>
        <w:ind w:firstLine="640" w:firstLineChars="200"/>
        <w:rPr>
          <w:rFonts w:hint="eastAsia" w:ascii="仿宋_GB2312" w:hAnsi="方正小标宋简体" w:cs="方正小标宋简体"/>
          <w:sz w:val="32"/>
          <w:szCs w:val="32"/>
          <w:lang w:val="en-US" w:eastAsia="zh-CN"/>
        </w:rPr>
      </w:pPr>
    </w:p>
    <w:p>
      <w:pPr>
        <w:spacing w:line="640" w:lineRule="exact"/>
        <w:ind w:firstLine="5760" w:firstLineChars="1800"/>
        <w:rPr>
          <w:rFonts w:hint="default" w:ascii="仿宋_GB2312" w:hAnsi="方正小标宋简体" w:eastAsia="仿宋_GB2312" w:cs="方正小标宋简体"/>
          <w:sz w:val="32"/>
          <w:szCs w:val="32"/>
          <w:lang w:val="en-US" w:eastAsia="zh-CN"/>
        </w:rPr>
      </w:pPr>
      <w:bookmarkStart w:id="0" w:name="_GoBack"/>
      <w:bookmarkEnd w:id="0"/>
      <w:r>
        <w:rPr>
          <w:rFonts w:hint="eastAsia" w:ascii="仿宋_GB2312" w:hAnsi="方正小标宋简体" w:cs="方正小标宋简体"/>
          <w:sz w:val="32"/>
          <w:szCs w:val="32"/>
          <w:lang w:val="en-US" w:eastAsia="zh-CN"/>
        </w:rPr>
        <w:t>机械工程学院</w:t>
      </w:r>
    </w:p>
    <w:p>
      <w:pPr>
        <w:spacing w:line="640" w:lineRule="exact"/>
        <w:ind w:firstLine="5600" w:firstLineChars="175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w:t>
      </w:r>
      <w:r>
        <w:rPr>
          <w:rFonts w:ascii="仿宋_GB2312" w:hAnsi="方正小标宋简体" w:eastAsia="仿宋_GB2312" w:cs="方正小标宋简体"/>
          <w:sz w:val="32"/>
          <w:szCs w:val="32"/>
        </w:rPr>
        <w:t>02</w:t>
      </w:r>
      <w:r>
        <w:rPr>
          <w:rFonts w:hint="eastAsia" w:ascii="仿宋_GB2312" w:hAnsi="方正小标宋简体" w:cs="方正小标宋简体"/>
          <w:sz w:val="32"/>
          <w:szCs w:val="32"/>
          <w:lang w:val="en-US" w:eastAsia="zh-CN"/>
        </w:rPr>
        <w:t>2</w:t>
      </w:r>
      <w:r>
        <w:rPr>
          <w:rFonts w:hint="eastAsia" w:ascii="仿宋_GB2312" w:hAnsi="方正小标宋简体" w:eastAsia="仿宋_GB2312" w:cs="方正小标宋简体"/>
          <w:sz w:val="32"/>
          <w:szCs w:val="32"/>
        </w:rPr>
        <w:t>年</w:t>
      </w:r>
      <w:r>
        <w:rPr>
          <w:rFonts w:hint="eastAsia" w:ascii="仿宋_GB2312" w:hAnsi="方正小标宋简体" w:cs="方正小标宋简体"/>
          <w:sz w:val="32"/>
          <w:szCs w:val="32"/>
          <w:lang w:val="en-US" w:eastAsia="zh-CN"/>
        </w:rPr>
        <w:t>11</w:t>
      </w:r>
      <w:r>
        <w:rPr>
          <w:rFonts w:hint="eastAsia" w:ascii="仿宋_GB2312" w:hAnsi="方正小标宋简体" w:eastAsia="仿宋_GB2312" w:cs="方正小标宋简体"/>
          <w:sz w:val="32"/>
          <w:szCs w:val="32"/>
        </w:rPr>
        <w:t>月</w:t>
      </w:r>
      <w:r>
        <w:rPr>
          <w:rFonts w:hint="eastAsia" w:ascii="仿宋_GB2312" w:hAnsi="方正小标宋简体" w:cs="方正小标宋简体"/>
          <w:sz w:val="32"/>
          <w:szCs w:val="32"/>
          <w:lang w:val="en-US" w:eastAsia="zh-CN"/>
        </w:rPr>
        <w:t>15</w:t>
      </w:r>
      <w:r>
        <w:rPr>
          <w:rFonts w:hint="eastAsia" w:ascii="仿宋_GB2312" w:hAnsi="方正小标宋简体" w:eastAsia="仿宋_GB2312" w:cs="方正小标宋简体"/>
          <w:sz w:val="32"/>
          <w:szCs w:val="32"/>
        </w:rPr>
        <w:t>日</w:t>
      </w: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widowControl/>
        <w:adjustRightInd w:val="0"/>
        <w:snapToGrid w:val="0"/>
        <w:jc w:val="both"/>
        <w:textAlignment w:val="top"/>
        <w:rPr>
          <w:rFonts w:hint="eastAsia" w:asciiTheme="minorEastAsia" w:hAnsiTheme="minorEastAsia" w:eastAsiaTheme="minorEastAsia" w:cstheme="minorEastAsia"/>
          <w:bCs/>
          <w:kern w:val="0"/>
          <w:sz w:val="44"/>
          <w:szCs w:val="28"/>
        </w:rPr>
      </w:pPr>
    </w:p>
    <w:p>
      <w:pPr>
        <w:rPr>
          <w:rFonts w:ascii="宋体" w:hAnsi="宋体" w:eastAsia="宋体"/>
          <w:sz w:val="24"/>
          <w:szCs w:val="24"/>
        </w:rPr>
      </w:pPr>
    </w:p>
    <w:p>
      <w:pPr>
        <w:pStyle w:val="2"/>
        <w:spacing w:before="0" w:beforeLines="0" w:line="640" w:lineRule="exact"/>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机械工程学院</w:t>
      </w:r>
    </w:p>
    <w:p>
      <w:pPr>
        <w:pStyle w:val="2"/>
        <w:spacing w:before="0" w:beforeLines="0" w:line="640" w:lineRule="exact"/>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关于学校奖学金评选的补充规定</w:t>
      </w:r>
    </w:p>
    <w:p>
      <w:pPr>
        <w:spacing w:line="560" w:lineRule="exact"/>
        <w:ind w:firstLine="640" w:firstLineChars="200"/>
        <w:rPr>
          <w:rFonts w:ascii="仿宋" w:hAnsi="仿宋" w:cs="仿宋"/>
          <w:bCs/>
        </w:rPr>
      </w:pPr>
    </w:p>
    <w:p>
      <w:pPr>
        <w:spacing w:line="560" w:lineRule="exact"/>
        <w:ind w:firstLine="640" w:firstLineChars="200"/>
        <w:jc w:val="both"/>
        <w:rPr>
          <w:rFonts w:ascii="仿宋" w:hAnsi="仿宋" w:cs="仿宋"/>
          <w:bCs/>
          <w:sz w:val="32"/>
          <w:szCs w:val="32"/>
        </w:rPr>
      </w:pPr>
      <w:r>
        <w:rPr>
          <w:rFonts w:hint="eastAsia" w:ascii="仿宋" w:hAnsi="仿宋" w:cs="仿宋"/>
          <w:bCs/>
          <w:sz w:val="32"/>
          <w:szCs w:val="32"/>
        </w:rPr>
        <w:t>根据《山东理工大学本专科生奖励条例》</w:t>
      </w:r>
      <w:r>
        <w:rPr>
          <w:rFonts w:hint="eastAsia" w:ascii="仿宋" w:hAnsi="仿宋" w:cs="仿宋"/>
          <w:sz w:val="32"/>
          <w:szCs w:val="32"/>
        </w:rPr>
        <w:t>（鲁理工大政发〔2021〕111号）</w:t>
      </w:r>
      <w:r>
        <w:rPr>
          <w:rFonts w:hint="eastAsia" w:ascii="仿宋" w:hAnsi="仿宋" w:cs="仿宋"/>
          <w:bCs/>
          <w:sz w:val="32"/>
          <w:szCs w:val="32"/>
        </w:rPr>
        <w:t>中关于学校奖学金评选的有关规定，结合各本科专业实际情况，经学院党政联席会议研究，制订本规定。</w:t>
      </w:r>
    </w:p>
    <w:p>
      <w:pPr>
        <w:spacing w:line="560" w:lineRule="exact"/>
        <w:ind w:firstLine="640" w:firstLineChars="200"/>
        <w:jc w:val="both"/>
        <w:rPr>
          <w:rFonts w:ascii="仿宋" w:hAnsi="仿宋" w:cs="黑体"/>
          <w:color w:val="000000"/>
          <w:kern w:val="0"/>
          <w:sz w:val="32"/>
          <w:szCs w:val="32"/>
          <w:lang w:bidi="ar"/>
        </w:rPr>
      </w:pPr>
      <w:r>
        <w:rPr>
          <w:rFonts w:hint="eastAsia" w:ascii="仿宋" w:hAnsi="仿宋" w:cs="黑体"/>
          <w:color w:val="000000"/>
          <w:kern w:val="0"/>
          <w:sz w:val="32"/>
          <w:szCs w:val="32"/>
          <w:lang w:val="en-US" w:eastAsia="zh-CN" w:bidi="ar"/>
        </w:rPr>
        <w:t>一、</w:t>
      </w:r>
      <w:r>
        <w:rPr>
          <w:rFonts w:hint="eastAsia" w:ascii="仿宋" w:hAnsi="仿宋" w:cs="仿宋"/>
          <w:bCs/>
          <w:sz w:val="32"/>
          <w:szCs w:val="32"/>
        </w:rPr>
        <w:t>学校奖学金在班级综合素质测评成绩前30%（含30%）的同学中产生</w:t>
      </w:r>
      <w:r>
        <w:rPr>
          <w:rFonts w:hint="eastAsia" w:ascii="仿宋" w:hAnsi="仿宋" w:cs="仿宋"/>
          <w:color w:val="000000"/>
          <w:kern w:val="0"/>
          <w:sz w:val="32"/>
          <w:szCs w:val="32"/>
          <w:lang w:bidi="ar"/>
        </w:rPr>
        <w:t>，并按照综测成绩从高到低且学年内无不及格课程的要求依次确定各等次奖学金获奖人选。</w:t>
      </w:r>
    </w:p>
    <w:p>
      <w:pPr>
        <w:spacing w:line="560" w:lineRule="exact"/>
        <w:ind w:firstLine="640" w:firstLineChars="200"/>
        <w:jc w:val="both"/>
        <w:rPr>
          <w:rFonts w:ascii="仿宋" w:hAnsi="仿宋" w:cs="仿宋"/>
          <w:bCs/>
          <w:sz w:val="32"/>
          <w:szCs w:val="32"/>
        </w:rPr>
      </w:pPr>
      <w:r>
        <w:rPr>
          <w:rFonts w:hint="eastAsia" w:ascii="仿宋" w:hAnsi="仿宋" w:cs="仿宋"/>
          <w:bCs/>
          <w:sz w:val="32"/>
          <w:szCs w:val="32"/>
          <w:lang w:val="en-US" w:eastAsia="zh-CN"/>
        </w:rPr>
        <w:t>二、</w:t>
      </w:r>
      <w:r>
        <w:rPr>
          <w:rFonts w:hint="eastAsia" w:ascii="仿宋" w:hAnsi="仿宋" w:cs="仿宋"/>
          <w:bCs/>
          <w:sz w:val="32"/>
          <w:szCs w:val="32"/>
        </w:rPr>
        <w:t>若班级综合素质测评成绩前30%（含30%）的同学中仍然不能满足“参评学生学年内无不及格课程”的条件，可以进行条件突破，按照综测成绩依次递补挂科较少且补考合格的同学。如果还不满足，优先考虑补考后仍然挂科较少的同学。</w:t>
      </w:r>
    </w:p>
    <w:p>
      <w:pPr>
        <w:spacing w:line="560" w:lineRule="exact"/>
        <w:ind w:firstLine="640" w:firstLineChars="200"/>
        <w:rPr>
          <w:rFonts w:ascii="仿宋" w:hAnsi="仿宋" w:cs="仿宋"/>
          <w:bCs/>
          <w:sz w:val="32"/>
          <w:szCs w:val="32"/>
        </w:rPr>
      </w:pPr>
      <w:r>
        <w:rPr>
          <w:rFonts w:hint="eastAsia" w:ascii="仿宋" w:hAnsi="仿宋" w:cs="仿宋"/>
          <w:bCs/>
          <w:sz w:val="32"/>
          <w:szCs w:val="32"/>
          <w:lang w:val="en-US" w:eastAsia="zh-CN"/>
        </w:rPr>
        <w:t>三、</w:t>
      </w:r>
      <w:r>
        <w:rPr>
          <w:rFonts w:hint="eastAsia" w:ascii="仿宋" w:hAnsi="仿宋" w:cs="仿宋"/>
          <w:bCs/>
          <w:sz w:val="32"/>
          <w:szCs w:val="32"/>
        </w:rPr>
        <w:t>辅导员根据同年级同专业不同班级的综合表现和学习情况，统筹协调确定各班级一等、二等、三等学校奖学金的评选名额，以达到树立典型、激励全院学生的目的。</w:t>
      </w:r>
    </w:p>
    <w:p>
      <w:pPr>
        <w:spacing w:line="560" w:lineRule="exact"/>
        <w:ind w:firstLine="640" w:firstLineChars="200"/>
        <w:rPr>
          <w:rFonts w:ascii="仿宋" w:hAnsi="仿宋" w:cs="仿宋"/>
          <w:bCs/>
          <w:sz w:val="32"/>
          <w:szCs w:val="32"/>
        </w:rPr>
      </w:pPr>
      <w:r>
        <w:rPr>
          <w:rFonts w:hint="eastAsia" w:ascii="仿宋" w:hAnsi="仿宋" w:cs="仿宋"/>
          <w:bCs/>
          <w:sz w:val="32"/>
          <w:szCs w:val="32"/>
          <w:lang w:val="en-US" w:eastAsia="zh-CN"/>
        </w:rPr>
        <w:t>四、</w:t>
      </w:r>
      <w:r>
        <w:rPr>
          <w:rFonts w:hint="eastAsia" w:ascii="仿宋" w:hAnsi="仿宋" w:cs="仿宋"/>
          <w:bCs/>
          <w:sz w:val="32"/>
          <w:szCs w:val="32"/>
        </w:rPr>
        <w:t>本补充规定由机械工程学院负责解释，自印发之日起执行。</w:t>
      </w:r>
    </w:p>
    <w:p>
      <w:pPr>
        <w:spacing w:line="560" w:lineRule="exact"/>
        <w:ind w:firstLine="6908" w:firstLineChars="2159"/>
        <w:rPr>
          <w:rFonts w:ascii="仿宋" w:hAnsi="仿宋" w:cs="仿宋"/>
          <w:bCs/>
          <w:sz w:val="32"/>
          <w:szCs w:val="32"/>
        </w:rPr>
      </w:pPr>
    </w:p>
    <w:p>
      <w:pPr>
        <w:spacing w:line="560" w:lineRule="exact"/>
        <w:ind w:firstLine="3520" w:firstLineChars="1100"/>
        <w:rPr>
          <w:rFonts w:hint="eastAsia" w:ascii="仿宋" w:hAnsi="仿宋" w:cs="仿宋"/>
          <w:bCs/>
          <w:sz w:val="32"/>
          <w:szCs w:val="32"/>
        </w:rPr>
      </w:pPr>
    </w:p>
    <w:p>
      <w:pPr>
        <w:spacing w:line="560" w:lineRule="exact"/>
        <w:ind w:firstLine="3520" w:firstLineChars="1100"/>
        <w:rPr>
          <w:rFonts w:hint="eastAsia" w:ascii="仿宋" w:hAnsi="仿宋" w:cs="仿宋"/>
          <w:bCs/>
          <w:sz w:val="32"/>
          <w:szCs w:val="32"/>
        </w:rPr>
      </w:pPr>
    </w:p>
    <w:p>
      <w:pPr>
        <w:spacing w:line="560" w:lineRule="exact"/>
        <w:ind w:firstLine="5120" w:firstLineChars="1600"/>
        <w:rPr>
          <w:rFonts w:asciiTheme="minorEastAsia" w:hAnsiTheme="minorEastAsia" w:eastAsiaTheme="minorEastAsia"/>
          <w:b/>
          <w:sz w:val="32"/>
          <w:szCs w:val="32"/>
        </w:rPr>
      </w:pPr>
      <w:r>
        <w:rPr>
          <w:rFonts w:hint="eastAsia" w:ascii="仿宋" w:hAnsi="仿宋" w:cs="仿宋"/>
          <w:bCs/>
          <w:sz w:val="32"/>
          <w:szCs w:val="32"/>
        </w:rPr>
        <w:t>2022年11月</w:t>
      </w:r>
      <w:r>
        <w:rPr>
          <w:rFonts w:ascii="仿宋" w:hAnsi="仿宋" w:cs="仿宋"/>
          <w:bCs/>
          <w:sz w:val="32"/>
          <w:szCs w:val="32"/>
        </w:rPr>
        <w:t>15</w:t>
      </w:r>
      <w:r>
        <w:rPr>
          <w:rFonts w:hint="eastAsia" w:ascii="仿宋" w:hAnsi="仿宋" w:cs="仿宋"/>
          <w:bCs/>
          <w:sz w:val="32"/>
          <w:szCs w:val="32"/>
        </w:rPr>
        <w:t>日</w:t>
      </w:r>
    </w:p>
    <w:p>
      <w:pPr>
        <w:spacing w:line="380" w:lineRule="exact"/>
        <w:jc w:val="center"/>
        <w:rPr>
          <w:rFonts w:ascii="仿宋" w:hAnsi="仿宋"/>
          <w:sz w:val="32"/>
          <w:szCs w:val="32"/>
        </w:rPr>
      </w:pPr>
    </w:p>
    <w:p>
      <w:pPr>
        <w:ind w:firstLine="4800" w:firstLineChars="1500"/>
        <w:jc w:val="both"/>
        <w:rPr>
          <w:rFonts w:hint="eastAsia" w:ascii="仿宋" w:hAnsi="仿宋" w:eastAsia="仿宋" w:cs="仿宋"/>
          <w:sz w:val="32"/>
          <w:szCs w:val="32"/>
        </w:rPr>
      </w:pPr>
    </w:p>
    <w:p>
      <w:pPr>
        <w:rPr>
          <w:rFonts w:hint="eastAsia"/>
        </w:rPr>
      </w:pPr>
    </w:p>
    <w:sectPr>
      <w:headerReference r:id="rId3" w:type="default"/>
      <w:pgSz w:w="11906" w:h="16838"/>
      <w:pgMar w:top="1304" w:right="1474" w:bottom="130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TkwNDA3N2NkZjUzNGY4ZjkyYzZlMDQzMTBmYjAifQ=="/>
  </w:docVars>
  <w:rsids>
    <w:rsidRoot w:val="00172A27"/>
    <w:rsid w:val="00012C77"/>
    <w:rsid w:val="00050278"/>
    <w:rsid w:val="000553F0"/>
    <w:rsid w:val="000905EC"/>
    <w:rsid w:val="000A43E3"/>
    <w:rsid w:val="000A6009"/>
    <w:rsid w:val="000A7DC6"/>
    <w:rsid w:val="000C5B63"/>
    <w:rsid w:val="000C71CC"/>
    <w:rsid w:val="000F2BB3"/>
    <w:rsid w:val="001107EB"/>
    <w:rsid w:val="00115493"/>
    <w:rsid w:val="0011644D"/>
    <w:rsid w:val="001255F7"/>
    <w:rsid w:val="00137F12"/>
    <w:rsid w:val="001457D6"/>
    <w:rsid w:val="001826DD"/>
    <w:rsid w:val="0018721E"/>
    <w:rsid w:val="00192153"/>
    <w:rsid w:val="00195218"/>
    <w:rsid w:val="00197822"/>
    <w:rsid w:val="001B3E17"/>
    <w:rsid w:val="0020372E"/>
    <w:rsid w:val="00226727"/>
    <w:rsid w:val="00245C25"/>
    <w:rsid w:val="002773B3"/>
    <w:rsid w:val="00282785"/>
    <w:rsid w:val="00294BD8"/>
    <w:rsid w:val="002C255A"/>
    <w:rsid w:val="002C4F38"/>
    <w:rsid w:val="00300630"/>
    <w:rsid w:val="003217F8"/>
    <w:rsid w:val="00332152"/>
    <w:rsid w:val="00334464"/>
    <w:rsid w:val="0035032C"/>
    <w:rsid w:val="00354EB2"/>
    <w:rsid w:val="00356631"/>
    <w:rsid w:val="003A4EE2"/>
    <w:rsid w:val="003C1F44"/>
    <w:rsid w:val="003D6ACF"/>
    <w:rsid w:val="003E159C"/>
    <w:rsid w:val="003F2765"/>
    <w:rsid w:val="004073B6"/>
    <w:rsid w:val="0042608B"/>
    <w:rsid w:val="0044741A"/>
    <w:rsid w:val="00460263"/>
    <w:rsid w:val="0046444B"/>
    <w:rsid w:val="0046745B"/>
    <w:rsid w:val="004748FF"/>
    <w:rsid w:val="00475E06"/>
    <w:rsid w:val="004C18AA"/>
    <w:rsid w:val="004E60D1"/>
    <w:rsid w:val="0050177E"/>
    <w:rsid w:val="005033E5"/>
    <w:rsid w:val="00550ABA"/>
    <w:rsid w:val="00563BB1"/>
    <w:rsid w:val="005743A6"/>
    <w:rsid w:val="00583993"/>
    <w:rsid w:val="005C5590"/>
    <w:rsid w:val="005D6CE0"/>
    <w:rsid w:val="005E230C"/>
    <w:rsid w:val="005F7334"/>
    <w:rsid w:val="00600787"/>
    <w:rsid w:val="00617599"/>
    <w:rsid w:val="00630ED1"/>
    <w:rsid w:val="00654A83"/>
    <w:rsid w:val="00663E19"/>
    <w:rsid w:val="00666B8F"/>
    <w:rsid w:val="00670169"/>
    <w:rsid w:val="006E6D7A"/>
    <w:rsid w:val="00722A20"/>
    <w:rsid w:val="00772FF0"/>
    <w:rsid w:val="007B468C"/>
    <w:rsid w:val="007C41D1"/>
    <w:rsid w:val="007C6E67"/>
    <w:rsid w:val="007D5FFA"/>
    <w:rsid w:val="007E0155"/>
    <w:rsid w:val="0081138E"/>
    <w:rsid w:val="00815D7B"/>
    <w:rsid w:val="008F0A48"/>
    <w:rsid w:val="009058E1"/>
    <w:rsid w:val="0091297B"/>
    <w:rsid w:val="00916F96"/>
    <w:rsid w:val="009C0BF2"/>
    <w:rsid w:val="009D54B4"/>
    <w:rsid w:val="009F7C38"/>
    <w:rsid w:val="00A0371D"/>
    <w:rsid w:val="00A2722A"/>
    <w:rsid w:val="00A3084D"/>
    <w:rsid w:val="00A377A6"/>
    <w:rsid w:val="00A4133C"/>
    <w:rsid w:val="00A87B05"/>
    <w:rsid w:val="00AC228E"/>
    <w:rsid w:val="00AF7066"/>
    <w:rsid w:val="00B0064B"/>
    <w:rsid w:val="00B00962"/>
    <w:rsid w:val="00B151DD"/>
    <w:rsid w:val="00B24345"/>
    <w:rsid w:val="00B57465"/>
    <w:rsid w:val="00B60941"/>
    <w:rsid w:val="00B82005"/>
    <w:rsid w:val="00BA01A3"/>
    <w:rsid w:val="00BA6F4C"/>
    <w:rsid w:val="00BE4B80"/>
    <w:rsid w:val="00BE6F04"/>
    <w:rsid w:val="00BE7B12"/>
    <w:rsid w:val="00C026C2"/>
    <w:rsid w:val="00C13FDA"/>
    <w:rsid w:val="00C16693"/>
    <w:rsid w:val="00C202FF"/>
    <w:rsid w:val="00C30AF5"/>
    <w:rsid w:val="00C349F6"/>
    <w:rsid w:val="00C815EC"/>
    <w:rsid w:val="00CB3159"/>
    <w:rsid w:val="00CD208E"/>
    <w:rsid w:val="00CD5B11"/>
    <w:rsid w:val="00D31A27"/>
    <w:rsid w:val="00D800C3"/>
    <w:rsid w:val="00DA6812"/>
    <w:rsid w:val="00DB5E35"/>
    <w:rsid w:val="00DD72E1"/>
    <w:rsid w:val="00E341E4"/>
    <w:rsid w:val="00E65CFD"/>
    <w:rsid w:val="00EA01F4"/>
    <w:rsid w:val="00EA5AAE"/>
    <w:rsid w:val="00ED556A"/>
    <w:rsid w:val="00EE0FBD"/>
    <w:rsid w:val="00EE59A8"/>
    <w:rsid w:val="00EE78FA"/>
    <w:rsid w:val="00EF24AA"/>
    <w:rsid w:val="00F070E6"/>
    <w:rsid w:val="00F10F82"/>
    <w:rsid w:val="00F20B9B"/>
    <w:rsid w:val="00F4365D"/>
    <w:rsid w:val="00F47C21"/>
    <w:rsid w:val="00F70AB9"/>
    <w:rsid w:val="00F750CA"/>
    <w:rsid w:val="00F81769"/>
    <w:rsid w:val="00FC7484"/>
    <w:rsid w:val="00FE7488"/>
    <w:rsid w:val="00FF3642"/>
    <w:rsid w:val="02A248C2"/>
    <w:rsid w:val="04767CFD"/>
    <w:rsid w:val="057D0057"/>
    <w:rsid w:val="06152E42"/>
    <w:rsid w:val="06332E06"/>
    <w:rsid w:val="0FA14003"/>
    <w:rsid w:val="13EE423F"/>
    <w:rsid w:val="15DB1263"/>
    <w:rsid w:val="15FE6B1D"/>
    <w:rsid w:val="16626290"/>
    <w:rsid w:val="25E2022B"/>
    <w:rsid w:val="26610D83"/>
    <w:rsid w:val="2A9729A1"/>
    <w:rsid w:val="2A9B6B96"/>
    <w:rsid w:val="2B32594B"/>
    <w:rsid w:val="2D3732B7"/>
    <w:rsid w:val="2DC953E1"/>
    <w:rsid w:val="2DD011BB"/>
    <w:rsid w:val="2EB21E84"/>
    <w:rsid w:val="3E416323"/>
    <w:rsid w:val="453F2DDE"/>
    <w:rsid w:val="465A1352"/>
    <w:rsid w:val="49464994"/>
    <w:rsid w:val="4A0E32DB"/>
    <w:rsid w:val="4BA51972"/>
    <w:rsid w:val="4E7D6937"/>
    <w:rsid w:val="4F057BCA"/>
    <w:rsid w:val="4FFF0A12"/>
    <w:rsid w:val="5C943E52"/>
    <w:rsid w:val="5FC63D2E"/>
    <w:rsid w:val="62667EB9"/>
    <w:rsid w:val="725146C9"/>
    <w:rsid w:val="72FF75F6"/>
    <w:rsid w:val="738F030F"/>
    <w:rsid w:val="755302E9"/>
    <w:rsid w:val="755F090F"/>
    <w:rsid w:val="79D84675"/>
    <w:rsid w:val="7AAB4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100" w:beforeLines="100"/>
      <w:ind w:firstLine="0"/>
      <w:jc w:val="center"/>
      <w:outlineLvl w:val="0"/>
    </w:pPr>
    <w:rPr>
      <w:rFonts w:ascii="Calibri" w:hAnsi="Calibri" w:eastAsia="方正大标宋简体"/>
      <w:bCs/>
      <w:kern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Times New Roman" w:hAnsi="Times New Roman" w:eastAsia="仿宋_GB2312" w:cs="Times New Roman"/>
      <w:sz w:val="18"/>
      <w:szCs w:val="18"/>
    </w:rPr>
  </w:style>
  <w:style w:type="paragraph" w:styleId="14">
    <w:name w:val="List Paragraph"/>
    <w:basedOn w:val="1"/>
    <w:qFormat/>
    <w:uiPriority w:val="34"/>
    <w:pPr>
      <w:ind w:firstLine="420" w:firstLineChars="200"/>
    </w:pPr>
  </w:style>
  <w:style w:type="paragraph" w:customStyle="1" w:styleId="15">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6">
    <w:name w:val="网格型1"/>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488</Words>
  <Characters>514</Characters>
  <Lines>12</Lines>
  <Paragraphs>3</Paragraphs>
  <TotalTime>2</TotalTime>
  <ScaleCrop>false</ScaleCrop>
  <LinksUpToDate>false</LinksUpToDate>
  <CharactersWithSpaces>522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2017-05-15T09:21:00Z</dcterms:created>
  <dc:creator>lenovo</dc:creator>
  <cp:lastModifiedBy>DELL</cp:lastModifiedBy>
  <cp:lastPrinted>2021-11-16T07:26:00Z</cp:lastPrinted>
  <dcterms:modified xsi:type="dcterms:W3CDTF">2022-11-16T01:18:23Z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3A14C98DA48342BEA941426D498E1746</vt:lpwstr>
  </property>
</Properties>
</file>