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lang w:val="en-US" w:eastAsia="zh-CN"/>
        </w:rPr>
      </w:pPr>
      <w:r>
        <w:rPr>
          <w:rFonts w:hint="eastAsia" w:ascii="黑体" w:hAnsi="黑体" w:eastAsia="黑体" w:cs="黑体"/>
          <w:sz w:val="36"/>
          <w:szCs w:val="36"/>
          <w:lang w:val="en-US" w:eastAsia="zh-CN"/>
        </w:rPr>
        <w:t>分配评阅专家操作流程</w:t>
      </w:r>
    </w:p>
    <w:p>
      <w:pPr>
        <w:keepNext w:val="0"/>
        <w:keepLines w:val="0"/>
        <w:pageBreakBefore w:val="0"/>
        <w:widowControl w:val="0"/>
        <w:kinsoku/>
        <w:wordWrap/>
        <w:overflowPunct/>
        <w:topLinePunct w:val="0"/>
        <w:autoSpaceDE/>
        <w:autoSpaceDN/>
        <w:bidi w:val="0"/>
        <w:adjustRightInd/>
        <w:snapToGrid/>
        <w:spacing w:before="157" w:beforeLines="50" w:line="52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为学生分配评阅专家：有三种方式</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color w:val="FF0000"/>
          <w:sz w:val="32"/>
          <w:szCs w:val="32"/>
          <w:lang w:val="en-US" w:eastAsia="zh-CN"/>
        </w:rPr>
        <w:t>专业负责人</w:t>
      </w:r>
      <w:r>
        <w:rPr>
          <w:rFonts w:hint="eastAsia" w:ascii="仿宋" w:hAnsi="仿宋" w:eastAsia="仿宋" w:cs="仿宋"/>
          <w:b/>
          <w:bCs/>
          <w:sz w:val="32"/>
          <w:szCs w:val="32"/>
          <w:lang w:val="en-US" w:eastAsia="zh-CN"/>
        </w:rPr>
        <w:t>登陆毕设系统，进入为学生分配评阅专家页面，如下：</w:t>
      </w:r>
    </w:p>
    <w:p>
      <w:pPr>
        <w:jc w:val="center"/>
        <w:rPr>
          <w:rFonts w:hint="default" w:ascii="仿宋" w:hAnsi="仿宋" w:eastAsia="仿宋" w:cs="仿宋"/>
          <w:b/>
          <w:bCs/>
          <w:sz w:val="32"/>
          <w:szCs w:val="32"/>
          <w:lang w:val="en-US" w:eastAsia="zh-CN"/>
        </w:rPr>
      </w:pPr>
      <w:r>
        <w:drawing>
          <wp:inline distT="0" distB="0" distL="114300" distR="114300">
            <wp:extent cx="4015740" cy="1932305"/>
            <wp:effectExtent l="0" t="0" r="3810" b="1079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
                    <a:stretch>
                      <a:fillRect/>
                    </a:stretch>
                  </pic:blipFill>
                  <pic:spPr>
                    <a:xfrm>
                      <a:off x="0" y="0"/>
                      <a:ext cx="4015740" cy="19323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一、为单个学生分配</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1.根据学生姓名查询到学生，点击“选择评阅专家”进入分配评阅专家页面。</w:t>
      </w:r>
    </w:p>
    <w:p>
      <w:pPr>
        <w:jc w:val="center"/>
      </w:pPr>
      <w:r>
        <w:drawing>
          <wp:inline distT="0" distB="0" distL="114300" distR="114300">
            <wp:extent cx="5829935" cy="1411605"/>
            <wp:effectExtent l="0" t="0" r="1841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829935" cy="14116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2.根据评阅专家姓名查询评阅专家，点击“选择”为学生分配</w:t>
      </w:r>
      <w:r>
        <w:rPr>
          <w:rFonts w:hint="eastAsia" w:ascii="仿宋" w:hAnsi="仿宋" w:eastAsia="仿宋" w:cs="仿宋"/>
          <w:b/>
          <w:bCs/>
          <w:color w:val="FF0000"/>
          <w:sz w:val="32"/>
          <w:szCs w:val="32"/>
          <w:lang w:val="en-US" w:eastAsia="zh-CN"/>
        </w:rPr>
        <w:t>两名评阅专家，</w:t>
      </w:r>
      <w:r>
        <w:rPr>
          <w:rFonts w:hint="eastAsia" w:ascii="仿宋" w:hAnsi="仿宋" w:eastAsia="仿宋" w:cs="仿宋"/>
          <w:b/>
          <w:bCs/>
          <w:color w:val="auto"/>
          <w:sz w:val="32"/>
          <w:szCs w:val="32"/>
          <w:lang w:val="en-US" w:eastAsia="zh-CN"/>
        </w:rPr>
        <w:t>点击“确定”</w:t>
      </w:r>
      <w:r>
        <w:rPr>
          <w:rFonts w:hint="eastAsia" w:ascii="仿宋" w:hAnsi="仿宋" w:eastAsia="仿宋" w:cs="仿宋"/>
          <w:b/>
          <w:bCs/>
          <w:sz w:val="32"/>
          <w:szCs w:val="32"/>
          <w:lang w:val="en-US" w:eastAsia="zh-CN"/>
        </w:rPr>
        <w:t>。</w:t>
      </w:r>
    </w:p>
    <w:p>
      <w:pPr>
        <w:jc w:val="center"/>
        <w:rPr>
          <w:rFonts w:hint="default" w:ascii="仿宋" w:hAnsi="仿宋" w:eastAsia="仿宋" w:cs="仿宋"/>
          <w:b/>
          <w:bCs/>
          <w:sz w:val="32"/>
          <w:szCs w:val="32"/>
          <w:lang w:val="en-US" w:eastAsia="zh-CN"/>
        </w:rPr>
      </w:pPr>
      <w:r>
        <w:drawing>
          <wp:inline distT="0" distB="0" distL="114300" distR="114300">
            <wp:extent cx="5760085" cy="2226310"/>
            <wp:effectExtent l="0" t="0" r="1206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760085" cy="2226310"/>
                    </a:xfrm>
                    <a:prstGeom prst="rect">
                      <a:avLst/>
                    </a:prstGeom>
                    <a:noFill/>
                    <a:ln>
                      <a:noFill/>
                    </a:ln>
                  </pic:spPr>
                </pic:pic>
              </a:graphicData>
            </a:graphic>
          </wp:inline>
        </w:drawing>
      </w:r>
    </w:p>
    <w:p>
      <w:pPr>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3.如果分配的评阅专家需要调整或取消，可通过“操作”</w:t>
      </w:r>
    </w:p>
    <w:p>
      <w:pPr>
        <w:jc w:val="center"/>
        <w:rPr>
          <w:rFonts w:hint="eastAsia" w:ascii="仿宋" w:hAnsi="仿宋" w:eastAsia="仿宋" w:cs="仿宋"/>
          <w:b/>
          <w:bCs/>
          <w:sz w:val="32"/>
          <w:szCs w:val="32"/>
          <w:lang w:val="en-US" w:eastAsia="zh-CN"/>
        </w:rPr>
      </w:pPr>
      <w:r>
        <w:drawing>
          <wp:inline distT="0" distB="0" distL="114300" distR="114300">
            <wp:extent cx="5731510" cy="499110"/>
            <wp:effectExtent l="0" t="0" r="254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731510" cy="499110"/>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为多个学生分配</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642" w:leftChars="0" w:firstLine="0" w:firstLineChars="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根据查询条件（专业、指导教师等条件）查询，勾选要分配的学生，点击“分配评阅专家”，进入分配评阅专家界面。</w:t>
      </w:r>
    </w:p>
    <w:p>
      <w:pPr>
        <w:numPr>
          <w:ilvl w:val="0"/>
          <w:numId w:val="0"/>
        </w:numPr>
        <w:jc w:val="center"/>
        <w:rPr>
          <w:rFonts w:hint="eastAsia" w:ascii="仿宋" w:hAnsi="仿宋" w:eastAsia="仿宋" w:cs="仿宋"/>
          <w:b/>
          <w:bCs/>
          <w:sz w:val="32"/>
          <w:szCs w:val="32"/>
          <w:lang w:val="en-US" w:eastAsia="zh-CN"/>
        </w:rPr>
      </w:pPr>
      <w:r>
        <w:drawing>
          <wp:inline distT="0" distB="0" distL="114300" distR="114300">
            <wp:extent cx="6107430" cy="1673225"/>
            <wp:effectExtent l="0" t="0" r="762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6107430" cy="1673225"/>
                    </a:xfrm>
                    <a:prstGeom prst="rect">
                      <a:avLst/>
                    </a:prstGeom>
                    <a:noFill/>
                    <a:ln>
                      <a:noFill/>
                    </a:ln>
                  </pic:spPr>
                </pic:pic>
              </a:graphicData>
            </a:graphic>
          </wp:inline>
        </w:drawing>
      </w:r>
    </w:p>
    <w:p>
      <w:pPr>
        <w:widowControl w:val="0"/>
        <w:numPr>
          <w:ilvl w:val="0"/>
          <w:numId w:val="2"/>
        </w:numPr>
        <w:ind w:left="642" w:leftChars="0" w:firstLine="0" w:firstLineChars="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根据查询条件，为学生分配</w:t>
      </w:r>
      <w:r>
        <w:rPr>
          <w:rFonts w:hint="eastAsia" w:ascii="仿宋" w:hAnsi="仿宋" w:eastAsia="仿宋" w:cs="仿宋"/>
          <w:b/>
          <w:bCs/>
          <w:color w:val="FF0000"/>
          <w:sz w:val="32"/>
          <w:szCs w:val="32"/>
          <w:lang w:val="en-US" w:eastAsia="zh-CN"/>
        </w:rPr>
        <w:t>两名评阅专家</w:t>
      </w:r>
      <w:r>
        <w:rPr>
          <w:rFonts w:hint="eastAsia" w:ascii="仿宋" w:hAnsi="仿宋" w:eastAsia="仿宋" w:cs="仿宋"/>
          <w:b/>
          <w:bCs/>
          <w:sz w:val="32"/>
          <w:szCs w:val="32"/>
          <w:lang w:val="en-US" w:eastAsia="zh-CN"/>
        </w:rPr>
        <w:t>。</w:t>
      </w:r>
    </w:p>
    <w:p>
      <w:pPr>
        <w:widowControl w:val="0"/>
        <w:numPr>
          <w:ilvl w:val="0"/>
          <w:numId w:val="0"/>
        </w:numPr>
        <w:jc w:val="center"/>
      </w:pPr>
      <w:r>
        <w:drawing>
          <wp:inline distT="0" distB="0" distL="114300" distR="114300">
            <wp:extent cx="5943600" cy="2161540"/>
            <wp:effectExtent l="0" t="0" r="0" b="101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5943600" cy="2161540"/>
                    </a:xfrm>
                    <a:prstGeom prst="rect">
                      <a:avLst/>
                    </a:prstGeom>
                    <a:noFill/>
                    <a:ln>
                      <a:noFill/>
                    </a:ln>
                  </pic:spPr>
                </pic:pic>
              </a:graphicData>
            </a:graphic>
          </wp:inline>
        </w:drawing>
      </w:r>
    </w:p>
    <w:p>
      <w:pPr>
        <w:widowControl w:val="0"/>
        <w:numPr>
          <w:ilvl w:val="0"/>
          <w:numId w:val="0"/>
        </w:numPr>
        <w:ind w:firstLine="642"/>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3.点击“操作”，取消或调整评阅专家。</w:t>
      </w:r>
    </w:p>
    <w:p>
      <w:pPr>
        <w:widowControl w:val="0"/>
        <w:numPr>
          <w:ilvl w:val="0"/>
          <w:numId w:val="0"/>
        </w:numPr>
        <w:jc w:val="center"/>
        <w:rPr>
          <w:rFonts w:hint="default" w:ascii="仿宋" w:hAnsi="仿宋" w:eastAsia="仿宋" w:cs="仿宋"/>
          <w:b/>
          <w:bCs/>
          <w:sz w:val="32"/>
          <w:szCs w:val="32"/>
          <w:lang w:val="en-US" w:eastAsia="zh-CN"/>
        </w:rPr>
      </w:pPr>
      <w:r>
        <w:drawing>
          <wp:inline distT="0" distB="0" distL="114300" distR="114300">
            <wp:extent cx="5654675" cy="1151255"/>
            <wp:effectExtent l="0" t="0" r="3175" b="1079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5654675" cy="1151255"/>
                    </a:xfrm>
                    <a:prstGeom prst="rect">
                      <a:avLst/>
                    </a:prstGeom>
                    <a:noFill/>
                    <a:ln>
                      <a:noFill/>
                    </a:ln>
                  </pic:spPr>
                </pic:pic>
              </a:graphicData>
            </a:graphic>
          </wp:inline>
        </w:drawing>
      </w:r>
    </w:p>
    <w:p>
      <w:pPr>
        <w:numPr>
          <w:ilvl w:val="0"/>
          <w:numId w:val="1"/>
        </w:numPr>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Excel表格导入</w:t>
      </w:r>
    </w:p>
    <w:p>
      <w:pPr>
        <w:numPr>
          <w:ilvl w:val="0"/>
          <w:numId w:val="0"/>
        </w:numPr>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1.点击“导入为学生分配评阅专家”</w:t>
      </w:r>
    </w:p>
    <w:p>
      <w:pPr>
        <w:numPr>
          <w:ilvl w:val="0"/>
          <w:numId w:val="0"/>
        </w:numPr>
        <w:jc w:val="center"/>
      </w:pPr>
      <w:r>
        <w:drawing>
          <wp:inline distT="0" distB="0" distL="114300" distR="114300">
            <wp:extent cx="5348605" cy="1936115"/>
            <wp:effectExtent l="0" t="0" r="4445"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5348605" cy="1936115"/>
                    </a:xfrm>
                    <a:prstGeom prst="rect">
                      <a:avLst/>
                    </a:prstGeom>
                    <a:noFill/>
                    <a:ln>
                      <a:noFill/>
                    </a:ln>
                  </pic:spPr>
                </pic:pic>
              </a:graphicData>
            </a:graphic>
          </wp:inline>
        </w:drawing>
      </w:r>
    </w:p>
    <w:p>
      <w:pPr>
        <w:numPr>
          <w:ilvl w:val="0"/>
          <w:numId w:val="0"/>
        </w:numPr>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2.在导入为学生分配评阅专家页面，下载“批量导入评阅教师”模板。</w:t>
      </w:r>
    </w:p>
    <w:p>
      <w:pPr>
        <w:numPr>
          <w:ilvl w:val="0"/>
          <w:numId w:val="0"/>
        </w:numPr>
        <w:jc w:val="center"/>
      </w:pPr>
      <w:r>
        <w:drawing>
          <wp:inline distT="0" distB="0" distL="114300" distR="114300">
            <wp:extent cx="5375275" cy="2367915"/>
            <wp:effectExtent l="0" t="0" r="15875" b="133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5375275" cy="2367915"/>
                    </a:xfrm>
                    <a:prstGeom prst="rect">
                      <a:avLst/>
                    </a:prstGeom>
                    <a:noFill/>
                    <a:ln>
                      <a:noFill/>
                    </a:ln>
                  </pic:spPr>
                </pic:pic>
              </a:graphicData>
            </a:graphic>
          </wp:inline>
        </w:drawing>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3.按模板格式填写信息，为</w:t>
      </w:r>
      <w:r>
        <w:rPr>
          <w:rFonts w:hint="eastAsia" w:ascii="仿宋" w:hAnsi="仿宋" w:eastAsia="仿宋" w:cs="仿宋"/>
          <w:b/>
          <w:bCs/>
          <w:color w:val="FF0000"/>
          <w:sz w:val="32"/>
          <w:szCs w:val="32"/>
          <w:lang w:val="en-US" w:eastAsia="zh-CN"/>
        </w:rPr>
        <w:t>每位学生分配两名评阅专家</w:t>
      </w:r>
      <w:r>
        <w:rPr>
          <w:rFonts w:hint="eastAsia" w:ascii="仿宋" w:hAnsi="仿宋" w:eastAsia="仿宋" w:cs="仿宋"/>
          <w:b/>
          <w:bCs/>
          <w:sz w:val="32"/>
          <w:szCs w:val="32"/>
          <w:lang w:val="en-US" w:eastAsia="zh-CN"/>
        </w:rPr>
        <w:t>，如下图：</w:t>
      </w:r>
    </w:p>
    <w:p>
      <w:pPr>
        <w:numPr>
          <w:ilvl w:val="0"/>
          <w:numId w:val="0"/>
        </w:numPr>
        <w:jc w:val="center"/>
      </w:pPr>
      <w:r>
        <w:drawing>
          <wp:inline distT="0" distB="0" distL="114300" distR="114300">
            <wp:extent cx="4352925" cy="1577340"/>
            <wp:effectExtent l="0" t="0" r="9525"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4352925" cy="1577340"/>
                    </a:xfrm>
                    <a:prstGeom prst="rect">
                      <a:avLst/>
                    </a:prstGeom>
                    <a:noFill/>
                    <a:ln>
                      <a:noFill/>
                    </a:ln>
                  </pic:spPr>
                </pic:pic>
              </a:graphicData>
            </a:graphic>
          </wp:inline>
        </w:drawing>
      </w:r>
    </w:p>
    <w:p>
      <w:pPr>
        <w:numPr>
          <w:ilvl w:val="0"/>
          <w:numId w:val="0"/>
        </w:numPr>
        <w:ind w:firstLine="643" w:firstLineChars="200"/>
        <w:jc w:val="left"/>
        <w:rPr>
          <w:rFonts w:hint="eastAsia"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注：评阅教师编号要与系统中保持一致！</w:t>
      </w:r>
    </w:p>
    <w:p>
      <w:pPr>
        <w:numPr>
          <w:ilvl w:val="0"/>
          <w:numId w:val="0"/>
        </w:numPr>
        <w:ind w:firstLine="643" w:firstLineChars="200"/>
        <w:jc w:val="left"/>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4.点击导入，再“确定导入”</w:t>
      </w:r>
    </w:p>
    <w:p>
      <w:pPr>
        <w:numPr>
          <w:ilvl w:val="0"/>
          <w:numId w:val="0"/>
        </w:numPr>
        <w:jc w:val="center"/>
        <w:rPr>
          <w:rFonts w:hint="default" w:ascii="仿宋" w:hAnsi="仿宋" w:eastAsia="仿宋" w:cs="仿宋"/>
          <w:b/>
          <w:bCs/>
          <w:color w:val="auto"/>
          <w:sz w:val="32"/>
          <w:szCs w:val="32"/>
          <w:lang w:val="en-US" w:eastAsia="zh-CN"/>
        </w:rPr>
      </w:pPr>
      <w:r>
        <w:drawing>
          <wp:inline distT="0" distB="0" distL="114300" distR="114300">
            <wp:extent cx="4127500" cy="2377440"/>
            <wp:effectExtent l="0" t="0" r="635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4127500" cy="2377440"/>
                    </a:xfrm>
                    <a:prstGeom prst="rect">
                      <a:avLst/>
                    </a:prstGeom>
                    <a:noFill/>
                    <a:ln>
                      <a:noFill/>
                    </a:ln>
                  </pic:spPr>
                </pic:pic>
              </a:graphicData>
            </a:graphic>
          </wp:inline>
        </w:drawing>
      </w:r>
    </w:p>
    <w:p>
      <w:pPr>
        <w:numPr>
          <w:ilvl w:val="0"/>
          <w:numId w:val="0"/>
        </w:numPr>
        <w:jc w:val="center"/>
      </w:pPr>
      <w:r>
        <w:drawing>
          <wp:inline distT="0" distB="0" distL="114300" distR="114300">
            <wp:extent cx="5737225" cy="1811655"/>
            <wp:effectExtent l="0" t="0" r="15875" b="171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5737225" cy="1811655"/>
                    </a:xfrm>
                    <a:prstGeom prst="rect">
                      <a:avLst/>
                    </a:prstGeom>
                    <a:noFill/>
                    <a:ln>
                      <a:noFill/>
                    </a:ln>
                  </pic:spPr>
                </pic:pic>
              </a:graphicData>
            </a:graphic>
          </wp:inline>
        </w:drawing>
      </w:r>
    </w:p>
    <w:p>
      <w:pPr>
        <w:numPr>
          <w:ilvl w:val="0"/>
          <w:numId w:val="0"/>
        </w:numPr>
        <w:ind w:firstLine="643" w:firstLineChars="200"/>
        <w:jc w:val="left"/>
        <w:rPr>
          <w:rFonts w:hint="eastAsia"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注：导入时，若评阅专家为学生导师，则系统给予提示。</w:t>
      </w:r>
    </w:p>
    <w:p>
      <w:pPr>
        <w:numPr>
          <w:ilvl w:val="0"/>
          <w:numId w:val="0"/>
        </w:numPr>
        <w:ind w:firstLine="420" w:firstLineChars="200"/>
        <w:jc w:val="center"/>
      </w:pPr>
      <w:r>
        <w:drawing>
          <wp:inline distT="0" distB="0" distL="114300" distR="114300">
            <wp:extent cx="3361055" cy="1741805"/>
            <wp:effectExtent l="0" t="0" r="10795" b="1079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3361055" cy="1741805"/>
                    </a:xfrm>
                    <a:prstGeom prst="rect">
                      <a:avLst/>
                    </a:prstGeom>
                    <a:noFill/>
                    <a:ln>
                      <a:noFill/>
                    </a:ln>
                  </pic:spPr>
                </pic:pic>
              </a:graphicData>
            </a:graphic>
          </wp:inline>
        </w:drawing>
      </w:r>
    </w:p>
    <w:p>
      <w:pPr>
        <w:numPr>
          <w:ilvl w:val="0"/>
          <w:numId w:val="0"/>
        </w:numPr>
        <w:ind w:firstLine="420" w:firstLineChars="200"/>
        <w:jc w:val="both"/>
      </w:pPr>
      <w:r>
        <w:drawing>
          <wp:inline distT="0" distB="0" distL="114300" distR="114300">
            <wp:extent cx="6109335" cy="1992630"/>
            <wp:effectExtent l="0" t="0" r="5715" b="762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6109335" cy="1992630"/>
                    </a:xfrm>
                    <a:prstGeom prst="rect">
                      <a:avLst/>
                    </a:prstGeom>
                    <a:noFill/>
                    <a:ln>
                      <a:noFill/>
                    </a:ln>
                  </pic:spPr>
                </pic:pic>
              </a:graphicData>
            </a:graphic>
          </wp:inline>
        </w:drawing>
      </w:r>
    </w:p>
    <w:p>
      <w:pPr>
        <w:numPr>
          <w:ilvl w:val="0"/>
          <w:numId w:val="0"/>
        </w:numPr>
        <w:ind w:firstLine="643" w:firstLineChars="200"/>
        <w:jc w:val="both"/>
        <w:rPr>
          <w:rFonts w:hint="eastAsia" w:ascii="仿宋" w:hAnsi="仿宋" w:eastAsia="仿宋" w:cs="仿宋"/>
          <w:b/>
          <w:bCs/>
          <w:color w:val="FF0000"/>
          <w:sz w:val="32"/>
          <w:szCs w:val="32"/>
          <w:lang w:val="en-US" w:eastAsia="zh-CN"/>
        </w:rPr>
      </w:pPr>
    </w:p>
    <w:p>
      <w:pPr>
        <w:numPr>
          <w:ilvl w:val="0"/>
          <w:numId w:val="0"/>
        </w:numPr>
        <w:ind w:firstLine="643" w:firstLineChars="200"/>
        <w:jc w:val="both"/>
        <w:rPr>
          <w:rFonts w:hint="eastAsia" w:ascii="仿宋" w:hAnsi="仿宋" w:eastAsia="仿宋" w:cs="仿宋"/>
          <w:b/>
          <w:bCs/>
          <w:color w:val="FF0000"/>
          <w:sz w:val="32"/>
          <w:szCs w:val="32"/>
          <w:lang w:val="en-US" w:eastAsia="zh-CN"/>
        </w:rPr>
      </w:pPr>
      <w:r>
        <w:rPr>
          <w:rFonts w:hint="eastAsia" w:ascii="仿宋" w:hAnsi="仿宋" w:eastAsia="仿宋" w:cs="仿宋"/>
          <w:b/>
          <w:bCs/>
          <w:color w:val="FF0000"/>
          <w:sz w:val="32"/>
          <w:szCs w:val="32"/>
          <w:lang w:val="en-US" w:eastAsia="zh-CN"/>
        </w:rPr>
        <w:t>特别提醒：</w:t>
      </w:r>
    </w:p>
    <w:p>
      <w:pPr>
        <w:numPr>
          <w:ilvl w:val="0"/>
          <w:numId w:val="0"/>
        </w:numPr>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color w:val="auto"/>
          <w:sz w:val="32"/>
          <w:szCs w:val="32"/>
          <w:lang w:val="en-US" w:eastAsia="zh-CN"/>
        </w:rPr>
        <w:t>1.</w:t>
      </w:r>
      <w:r>
        <w:rPr>
          <w:rFonts w:hint="eastAsia" w:ascii="仿宋" w:hAnsi="仿宋" w:eastAsia="仿宋" w:cs="仿宋"/>
          <w:b/>
          <w:bCs/>
          <w:sz w:val="32"/>
          <w:szCs w:val="32"/>
          <w:lang w:val="en-US" w:eastAsia="zh-CN"/>
        </w:rPr>
        <w:t>因指导教师指导的学生各专业有交叉，建议不要使用一键分配评阅专家方式进行分配，以免造成数据混乱！</w:t>
      </w:r>
    </w:p>
    <w:p>
      <w:pPr>
        <w:numPr>
          <w:ilvl w:val="0"/>
          <w:numId w:val="0"/>
        </w:numPr>
        <w:ind w:firstLine="643" w:firstLineChars="200"/>
        <w:jc w:val="both"/>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2.为了达到盲评的要求，学生上传论文时须去掉论文封面以及致谢等带有学生相关信息的部分。</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3F1952"/>
    <w:multiLevelType w:val="singleLevel"/>
    <w:tmpl w:val="253F1952"/>
    <w:lvl w:ilvl="0" w:tentative="0">
      <w:start w:val="1"/>
      <w:numFmt w:val="decimal"/>
      <w:lvlText w:val="%1."/>
      <w:lvlJc w:val="left"/>
      <w:pPr>
        <w:tabs>
          <w:tab w:val="left" w:pos="312"/>
        </w:tabs>
        <w:ind w:left="642" w:leftChars="0" w:firstLine="0" w:firstLineChars="0"/>
      </w:pPr>
    </w:lvl>
  </w:abstractNum>
  <w:abstractNum w:abstractNumId="1">
    <w:nsid w:val="449AC574"/>
    <w:multiLevelType w:val="singleLevel"/>
    <w:tmpl w:val="449AC57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00DC0"/>
    <w:rsid w:val="23966590"/>
    <w:rsid w:val="6C776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2021-05-19T00:22:00Z</dcterms:created>
  <dc:creator>435</dc:creator>
  <cp:lastModifiedBy>435</cp:lastModifiedBy>
  <dcterms:modified xsi:type="dcterms:W3CDTF">2021-05-21T01:37:26Z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6C67BF9432CC45BFA498DF74507F8D64</vt:lpwstr>
  </property>
</Properties>
</file>